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F6" w:rsidRPr="008B5EF6" w:rsidRDefault="008B5EF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  <w:bookmarkStart w:id="0" w:name="_GoBack"/>
      <w:bookmarkEnd w:id="0"/>
    </w:p>
    <w:p w:rsidR="008B5EF6" w:rsidRPr="008B5EF6" w:rsidRDefault="00476CA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  <w:r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  <w:t>NOTA</w:t>
      </w:r>
      <w:r w:rsidR="008B5EF6" w:rsidRPr="008B5EF6"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  <w:t xml:space="preserve"> DE PRENSA</w:t>
      </w:r>
    </w:p>
    <w:p w:rsidR="008B5EF6" w:rsidRPr="008B5EF6" w:rsidRDefault="008B5EF6" w:rsidP="008B5EF6">
      <w:pPr>
        <w:spacing w:before="120" w:after="0" w:line="240" w:lineRule="auto"/>
        <w:ind w:right="-493"/>
        <w:jc w:val="center"/>
        <w:rPr>
          <w:rFonts w:ascii="Arial Black" w:eastAsia="Times New Roman" w:hAnsi="Arial Black" w:cs="Arial"/>
          <w:b/>
          <w:sz w:val="28"/>
          <w:szCs w:val="32"/>
          <w:u w:val="single"/>
          <w:lang w:eastAsia="es-ES"/>
        </w:rPr>
      </w:pPr>
    </w:p>
    <w:p w:rsidR="008B5EF6" w:rsidRDefault="00D76BB5" w:rsidP="008B5EF6">
      <w:pPr>
        <w:jc w:val="center"/>
        <w:rPr>
          <w:rFonts w:ascii="Arial Black" w:hAnsi="Arial Black" w:cs="Arial"/>
          <w:b/>
          <w:sz w:val="28"/>
          <w:szCs w:val="28"/>
        </w:rPr>
      </w:pPr>
      <w:proofErr w:type="gramStart"/>
      <w:r>
        <w:rPr>
          <w:rFonts w:ascii="Arial Black" w:hAnsi="Arial Black" w:cs="Arial"/>
          <w:b/>
          <w:sz w:val="28"/>
          <w:szCs w:val="28"/>
        </w:rPr>
        <w:t xml:space="preserve">CESM </w:t>
      </w:r>
      <w:r w:rsidR="00476CA6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CONSEJER</w:t>
      </w:r>
      <w:r w:rsidR="00476CA6">
        <w:rPr>
          <w:rFonts w:ascii="Arial Black" w:hAnsi="Arial Black" w:cs="Arial"/>
          <w:b/>
          <w:sz w:val="28"/>
          <w:szCs w:val="28"/>
        </w:rPr>
        <w:t>Í</w:t>
      </w:r>
      <w:r>
        <w:rPr>
          <w:rFonts w:ascii="Arial Black" w:hAnsi="Arial Black" w:cs="Arial"/>
          <w:b/>
          <w:sz w:val="28"/>
          <w:szCs w:val="28"/>
        </w:rPr>
        <w:t>A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 DE SANIDAD</w:t>
      </w:r>
    </w:p>
    <w:p w:rsidR="00717E66" w:rsidRDefault="00717E66" w:rsidP="008B5EF6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El Acuerdo </w:t>
      </w:r>
      <w:r w:rsidR="00D76BB5">
        <w:rPr>
          <w:rFonts w:ascii="Arial Black" w:hAnsi="Arial Black" w:cs="Arial"/>
          <w:b/>
          <w:sz w:val="24"/>
          <w:szCs w:val="24"/>
        </w:rPr>
        <w:t xml:space="preserve">alcanzado con la Consejería de Sanidad contempla la recuperación de derechos perdidos con los Recortes: Productividad Variable, pago de Acumulaciones en AP y </w:t>
      </w:r>
      <w:r w:rsidR="00ED0271">
        <w:rPr>
          <w:rFonts w:ascii="Arial Black" w:hAnsi="Arial Black" w:cs="Arial"/>
          <w:b/>
          <w:sz w:val="24"/>
          <w:szCs w:val="24"/>
        </w:rPr>
        <w:t>desbloqueo</w:t>
      </w:r>
      <w:r w:rsidR="00D76BB5">
        <w:rPr>
          <w:rFonts w:ascii="Arial Black" w:hAnsi="Arial Black" w:cs="Arial"/>
          <w:b/>
          <w:sz w:val="24"/>
          <w:szCs w:val="24"/>
        </w:rPr>
        <w:t xml:space="preserve"> Carrera Profesional</w:t>
      </w:r>
      <w:r w:rsidR="009B4C29">
        <w:rPr>
          <w:rFonts w:ascii="Arial Black" w:hAnsi="Arial Black" w:cs="Arial"/>
          <w:b/>
          <w:sz w:val="24"/>
          <w:szCs w:val="24"/>
        </w:rPr>
        <w:t xml:space="preserve"> 2010-2011</w:t>
      </w:r>
    </w:p>
    <w:p w:rsidR="00EF645D" w:rsidRPr="00DC26D5" w:rsidRDefault="00EF645D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76BB5" w:rsidRDefault="00D76BB5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76CA6" w:rsidRDefault="00DF3AD1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El </w:t>
      </w:r>
      <w:r w:rsidR="006A3269">
        <w:rPr>
          <w:rFonts w:ascii="Arial" w:eastAsia="Times New Roman" w:hAnsi="Arial" w:cs="Arial"/>
          <w:b/>
          <w:sz w:val="20"/>
          <w:szCs w:val="20"/>
          <w:lang w:eastAsia="es-ES"/>
        </w:rPr>
        <w:t>Sindicato Médico CESM ha alcanzado un acuerdo con la Consejería de Sanidad para recuperar derechos que se habían perdido durante la crisis, deteriorando</w:t>
      </w:r>
      <w:r w:rsidR="00AF6C4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forma importante,</w:t>
      </w:r>
      <w:r w:rsidR="006A32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las condiciones laborales de los médicos de SACYL.</w:t>
      </w:r>
    </w:p>
    <w:p w:rsidR="006A3269" w:rsidRDefault="006A326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A3269" w:rsidRDefault="006A326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El acuerdo contempla volver a la situación anterior al año 2012 en el complemento de Productividad Variable, e importantes mejoras en el tema de acumulaciones en Atención Primaria, Oferta de Empleo Pública y Carrera Profesional, que se concretan de la siguiente forma:</w:t>
      </w:r>
    </w:p>
    <w:p w:rsidR="006A3269" w:rsidRDefault="006A326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A3269" w:rsidRDefault="00AF6C43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F6C4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PRODUCTIVIDAD VARIABLE: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el complemento de </w:t>
      </w:r>
      <w:r w:rsidR="00FB5DC3">
        <w:rPr>
          <w:rFonts w:ascii="Arial" w:eastAsia="Times New Roman" w:hAnsi="Arial" w:cs="Arial"/>
          <w:sz w:val="20"/>
          <w:szCs w:val="20"/>
          <w:lang w:eastAsia="es-ES"/>
        </w:rPr>
        <w:t xml:space="preserve">Productividad Variable fue anulado como consecuencia de los recortes del año 2012. Este complemento incentivaba el cumplimiento de objetivos del Plan Anual de Gestión y de Planes Específicos de SACYL y afectaba sobre todo a los Médicos, ya que en el resto de </w:t>
      </w:r>
      <w:proofErr w:type="gramStart"/>
      <w:r w:rsidR="00FB5DC3">
        <w:rPr>
          <w:rFonts w:ascii="Arial" w:eastAsia="Times New Roman" w:hAnsi="Arial" w:cs="Arial"/>
          <w:sz w:val="20"/>
          <w:szCs w:val="20"/>
          <w:lang w:eastAsia="es-ES"/>
        </w:rPr>
        <w:t>colectivos</w:t>
      </w:r>
      <w:proofErr w:type="gramEnd"/>
      <w:r w:rsidR="00FB5DC3">
        <w:rPr>
          <w:rFonts w:ascii="Arial" w:eastAsia="Times New Roman" w:hAnsi="Arial" w:cs="Arial"/>
          <w:sz w:val="20"/>
          <w:szCs w:val="20"/>
          <w:lang w:eastAsia="es-ES"/>
        </w:rPr>
        <w:t xml:space="preserve"> se había consolidado como Productividad Fija.</w:t>
      </w:r>
    </w:p>
    <w:p w:rsidR="00FB5DC3" w:rsidRPr="00AF6C43" w:rsidRDefault="00FB5DC3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 ello, la anulación de este complemento supuso un recorte que sufrieron, casi en exclusiva, los profesionales médicos.</w:t>
      </w:r>
    </w:p>
    <w:p w:rsidR="00476CA6" w:rsidRDefault="00FB5DC3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Desde entonces, CESM ha estado batallando por recuperarlo, y este Acuerdo consolida la recuperación de las cantidades perdidas, empezando su pago en el mes de mayo de 2019.</w:t>
      </w:r>
    </w:p>
    <w:p w:rsidR="00FB5DC3" w:rsidRDefault="00FB5DC3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B5DC3" w:rsidRDefault="00FB5DC3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B5DC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PAGO DE ACUMULACIONES EN ATENCIÓN PRIMARIA: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la falta de profesionales médicos en Atención Primaria (Médicos de Familia y Pediatras), unido al aumento de la jornada a 37 horas y media, ha provocado desde el año 2012 una situación de abuso en la que SACYL obligaba a los profesionales a acumular el trabajo de los compañeros que estaban de vacaciones, bajas o permisos, sin ning</w:t>
      </w:r>
      <w:r w:rsidR="00064EDE">
        <w:rPr>
          <w:rFonts w:ascii="Arial" w:eastAsia="Times New Roman" w:hAnsi="Arial" w:cs="Arial"/>
          <w:sz w:val="20"/>
          <w:szCs w:val="20"/>
          <w:lang w:eastAsia="es-ES"/>
        </w:rPr>
        <w:t>u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na regla y ningún control. </w:t>
      </w:r>
      <w:r w:rsidR="00064EDE">
        <w:rPr>
          <w:rFonts w:ascii="Arial" w:eastAsia="Times New Roman" w:hAnsi="Arial" w:cs="Arial"/>
          <w:sz w:val="20"/>
          <w:szCs w:val="20"/>
          <w:lang w:eastAsia="es-ES"/>
        </w:rPr>
        <w:t xml:space="preserve">El Acuerdo alcanzado con la Consejería fija un número máximo de acumulaciones </w:t>
      </w:r>
      <w:r w:rsidR="009B4C29">
        <w:rPr>
          <w:rFonts w:ascii="Arial" w:eastAsia="Times New Roman" w:hAnsi="Arial" w:cs="Arial"/>
          <w:sz w:val="20"/>
          <w:szCs w:val="20"/>
          <w:lang w:eastAsia="es-ES"/>
        </w:rPr>
        <w:t>para cumplir la jornada adicional (hasta las 37,5 horas) a partir de ese límite de acumulaciones (20 en los Centros de Salud urbanos y 25 en los CS rurales), cualquier acumulación del trabajo de un compañero se retribuirá</w:t>
      </w:r>
      <w:r w:rsidR="00DD30EA">
        <w:rPr>
          <w:rFonts w:ascii="Arial" w:eastAsia="Times New Roman" w:hAnsi="Arial" w:cs="Arial"/>
          <w:sz w:val="20"/>
          <w:szCs w:val="20"/>
          <w:lang w:eastAsia="es-ES"/>
        </w:rPr>
        <w:t xml:space="preserve"> como acumulación</w:t>
      </w:r>
      <w:r w:rsidR="00CC1C9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CC1C90" w:rsidRDefault="00CC1C90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Nuestro Acuerdo consigue que este pago se realice con efectos retroactivos de 1 de enero de 2018.</w:t>
      </w:r>
    </w:p>
    <w:p w:rsidR="009B4C29" w:rsidRDefault="009B4C2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B4C29" w:rsidRPr="00FB5DC3" w:rsidRDefault="009B4C2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B4C29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DESBLOQUEO DE LA CARRERA PROFESIONAL 2010-2011: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la Carrera Profesional se paralizó en el año 2012, impidiendo el acceso de nuevos profesionales a la Carrera, y el </w:t>
      </w: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progreso de los que ya estaban. CESM comenzó a luchar en los Juzgados que este derecho al desarrollo profesional no se perdiera y consiguió sentencias que han obligado a abrir la Carrera Profesional de los años 2010 y 2011 para profesionales fijos e interinos.</w:t>
      </w:r>
    </w:p>
    <w:p w:rsidR="0033055B" w:rsidRDefault="009B4C29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Estas sentencias se tiene</w:t>
      </w:r>
      <w:r w:rsidR="00DD30EA"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que </w:t>
      </w:r>
      <w:r w:rsidR="00DD30EA">
        <w:rPr>
          <w:rFonts w:ascii="Arial" w:eastAsia="Times New Roman" w:hAnsi="Arial" w:cs="Arial"/>
          <w:b/>
          <w:sz w:val="20"/>
          <w:szCs w:val="20"/>
          <w:lang w:eastAsia="es-ES"/>
        </w:rPr>
        <w:t>aplicar,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cualquier caso, pero el acuerdo alcanzado con la Consejería fija unos plazos concretos para su desarrollo y pago que tiene que cumplir la Consejería </w:t>
      </w:r>
      <w:r w:rsidR="00ED3C4A">
        <w:rPr>
          <w:rFonts w:ascii="Arial" w:eastAsia="Times New Roman" w:hAnsi="Arial" w:cs="Arial"/>
          <w:b/>
          <w:sz w:val="20"/>
          <w:szCs w:val="20"/>
          <w:lang w:eastAsia="es-ES"/>
        </w:rPr>
        <w:t>contratando los recursos profesionales, informáticos o de</w:t>
      </w:r>
      <w:r w:rsidR="00DD30E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cualquier</w:t>
      </w:r>
      <w:r w:rsidR="00ED3C4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tipo que sean necesarios.</w:t>
      </w: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3055B" w:rsidRDefault="00ED3C4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D30EA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OFERTA DE EMPLEO PÚBLICO Y CONCURSO DE TRASLADOS: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el acuerdo también se contempla el compromiso de la Consejería de desarrollar en el año 2019 el concurso de traslados abierto y permanente para médicos, y sacar a Oferta de Empleo Público las plazas vacantes de Licenciados Especialistas en 2018 y 2019 para convocar concurso-oposición de todas las categorías médicas en 2019</w:t>
      </w: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D30EA" w:rsidRDefault="00DD30EA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3055B" w:rsidRDefault="0033055B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76BB5" w:rsidRPr="00DC26D5" w:rsidRDefault="00D76BB5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F645D" w:rsidRPr="00DC26D5" w:rsidRDefault="00EF645D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B5EF6" w:rsidRPr="008B5EF6" w:rsidRDefault="008B5EF6" w:rsidP="008B5EF6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B5EF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MÁS INFORMACIÓN: CESMCYL C/ Angustias 34, 1º Izda. 47003 Valladolid. TFNO </w:t>
      </w:r>
      <w:proofErr w:type="gramStart"/>
      <w:r w:rsidRPr="008B5EF6">
        <w:rPr>
          <w:rFonts w:ascii="Arial" w:eastAsia="Times New Roman" w:hAnsi="Arial" w:cs="Arial"/>
          <w:b/>
          <w:sz w:val="20"/>
          <w:szCs w:val="20"/>
          <w:lang w:eastAsia="es-ES"/>
        </w:rPr>
        <w:t>983218524</w:t>
      </w:r>
      <w:r w:rsidR="00952B6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y</w:t>
      </w:r>
      <w:proofErr w:type="gramEnd"/>
      <w:r w:rsidR="00952B6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600541004</w:t>
      </w:r>
    </w:p>
    <w:sectPr w:rsidR="008B5EF6" w:rsidRPr="008B5EF6" w:rsidSect="00B1035F">
      <w:headerReference w:type="default" r:id="rId8"/>
      <w:footerReference w:type="default" r:id="rId9"/>
      <w:pgSz w:w="11906" w:h="16838"/>
      <w:pgMar w:top="1800" w:right="1701" w:bottom="1977" w:left="1985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37" w:rsidRDefault="007A1E37">
      <w:pPr>
        <w:spacing w:after="0" w:line="240" w:lineRule="auto"/>
      </w:pPr>
      <w:r>
        <w:separator/>
      </w:r>
    </w:p>
  </w:endnote>
  <w:endnote w:type="continuationSeparator" w:id="0">
    <w:p w:rsidR="007A1E37" w:rsidRDefault="007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Sindicato </w:t>
    </w:r>
    <w:proofErr w:type="spellStart"/>
    <w:r w:rsidRPr="00B1035F">
      <w:rPr>
        <w:rFonts w:ascii="Arial" w:hAnsi="Arial" w:cs="Arial"/>
        <w:sz w:val="20"/>
      </w:rPr>
      <w:t>Medico</w:t>
    </w:r>
    <w:proofErr w:type="spellEnd"/>
    <w:r w:rsidRPr="00B1035F">
      <w:rPr>
        <w:rFonts w:ascii="Arial" w:hAnsi="Arial" w:cs="Arial"/>
        <w:sz w:val="20"/>
      </w:rPr>
      <w:t xml:space="preserve"> CESMCYL C/ Angustias 34 1º </w:t>
    </w:r>
    <w:proofErr w:type="spellStart"/>
    <w:r w:rsidRPr="00B1035F">
      <w:rPr>
        <w:rFonts w:ascii="Arial" w:hAnsi="Arial" w:cs="Arial"/>
        <w:sz w:val="20"/>
      </w:rPr>
      <w:t>izda</w:t>
    </w:r>
    <w:proofErr w:type="spellEnd"/>
    <w:r w:rsidRPr="00B1035F">
      <w:rPr>
        <w:rFonts w:ascii="Arial" w:hAnsi="Arial" w:cs="Arial"/>
        <w:sz w:val="20"/>
      </w:rPr>
      <w:t xml:space="preserve"> 47003 Valladolid.</w:t>
    </w:r>
  </w:p>
  <w:p w:rsidR="00B1035F" w:rsidRPr="00B1035F" w:rsidRDefault="008B5EF6" w:rsidP="00B1035F">
    <w:pPr>
      <w:pStyle w:val="Piedepgina"/>
      <w:jc w:val="center"/>
      <w:rPr>
        <w:rFonts w:ascii="Arial" w:hAnsi="Arial" w:cs="Arial"/>
        <w:sz w:val="20"/>
      </w:rPr>
    </w:pPr>
    <w:r w:rsidRPr="00B1035F">
      <w:rPr>
        <w:rFonts w:ascii="Arial" w:hAnsi="Arial" w:cs="Arial"/>
        <w:sz w:val="20"/>
      </w:rPr>
      <w:t xml:space="preserve">Email: </w:t>
    </w:r>
    <w:hyperlink r:id="rId1" w:history="1">
      <w:r w:rsidRPr="00B1035F">
        <w:rPr>
          <w:rStyle w:val="Hipervnculo"/>
          <w:rFonts w:ascii="Arial" w:hAnsi="Arial" w:cs="Arial"/>
          <w:sz w:val="20"/>
        </w:rPr>
        <w:t>cesmcyl@cesmcyl.es</w:t>
      </w:r>
    </w:hyperlink>
    <w:r w:rsidRPr="00B1035F">
      <w:rPr>
        <w:rFonts w:ascii="Arial" w:hAnsi="Arial" w:cs="Arial"/>
        <w:sz w:val="20"/>
      </w:rPr>
      <w:t xml:space="preserve">   Teléfono 983218524 - 653883739</w:t>
    </w:r>
  </w:p>
  <w:p w:rsidR="00B1035F" w:rsidRPr="00B1035F" w:rsidRDefault="007A1E37" w:rsidP="00B1035F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37" w:rsidRDefault="007A1E37">
      <w:pPr>
        <w:spacing w:after="0" w:line="240" w:lineRule="auto"/>
      </w:pPr>
      <w:r>
        <w:separator/>
      </w:r>
    </w:p>
  </w:footnote>
  <w:footnote w:type="continuationSeparator" w:id="0">
    <w:p w:rsidR="007A1E37" w:rsidRDefault="007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FB" w:rsidRDefault="008B5EF6">
    <w:pPr>
      <w:pStyle w:val="Encabezado"/>
      <w:tabs>
        <w:tab w:val="left" w:pos="7865"/>
      </w:tabs>
      <w:ind w:left="-900"/>
      <w:rPr>
        <w:sz w:val="40"/>
        <w:szCs w:val="40"/>
      </w:rPr>
    </w:pPr>
    <w:r w:rsidRPr="009F07CF">
      <w:rPr>
        <w:noProof/>
        <w:sz w:val="40"/>
        <w:szCs w:val="40"/>
      </w:rPr>
      <w:drawing>
        <wp:inline distT="0" distB="0" distL="0" distR="0">
          <wp:extent cx="1595755" cy="690880"/>
          <wp:effectExtent l="0" t="0" r="4445" b="0"/>
          <wp:docPr id="10" name="Imagen 10" descr="LOGO CESM CASTILLA Y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M CASTILLA Y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4FB" w:rsidRDefault="00F624FB">
    <w:pPr>
      <w:pStyle w:val="Encabezado"/>
      <w:tabs>
        <w:tab w:val="left" w:pos="7865"/>
      </w:tabs>
      <w:ind w:left="-900"/>
      <w:rPr>
        <w:sz w:val="40"/>
        <w:szCs w:val="40"/>
      </w:rPr>
    </w:pPr>
  </w:p>
  <w:p w:rsidR="007068C6" w:rsidRDefault="00952B6B">
    <w:pPr>
      <w:pStyle w:val="Encabezado"/>
      <w:tabs>
        <w:tab w:val="left" w:pos="7865"/>
      </w:tabs>
      <w:ind w:left="-900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0">
              <wp:simplePos x="0" y="0"/>
              <wp:positionH relativeFrom="column">
                <wp:posOffset>-457201</wp:posOffset>
              </wp:positionH>
              <wp:positionV relativeFrom="page">
                <wp:posOffset>1680210</wp:posOffset>
              </wp:positionV>
              <wp:extent cx="0" cy="7772400"/>
              <wp:effectExtent l="0" t="0" r="1905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7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2D7A0" id="Conector rec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36pt,132.3pt" to="-36pt,7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" o:allowoverlap="f">
              <w10:wrap anchory="page"/>
            </v:line>
          </w:pict>
        </mc:Fallback>
      </mc:AlternateContent>
    </w: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3429000</wp:posOffset>
              </wp:positionH>
              <wp:positionV relativeFrom="page">
                <wp:posOffset>308610</wp:posOffset>
              </wp:positionV>
              <wp:extent cx="2194560" cy="263525"/>
              <wp:effectExtent l="0" t="0" r="0" b="3175"/>
              <wp:wrapTight wrapText="bothSides">
                <wp:wrapPolygon edited="0">
                  <wp:start x="0" y="0"/>
                  <wp:lineTo x="0" y="21860"/>
                  <wp:lineTo x="21563" y="21860"/>
                  <wp:lineTo x="21563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1945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8C6" w:rsidRDefault="008B5EF6">
                          <w:pPr>
                            <w:pStyle w:val="Ttulo1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A.A. SANIDAD-SOCIEDAD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0pt;margin-top:24.3pt;width:172.8pt;height:20.7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" strokecolor="#969696">
              <v:textbox>
                <w:txbxContent>
                  <w:p w:rsidR="007068C6" w:rsidRDefault="008B5EF6">
                    <w:pPr>
                      <w:pStyle w:val="Ttulo1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A.A. SANIDAD-SOCIEDAD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0AF"/>
    <w:multiLevelType w:val="hybridMultilevel"/>
    <w:tmpl w:val="93DE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8E0"/>
    <w:multiLevelType w:val="hybridMultilevel"/>
    <w:tmpl w:val="D1846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5CB0"/>
    <w:multiLevelType w:val="hybridMultilevel"/>
    <w:tmpl w:val="3258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783"/>
    <w:multiLevelType w:val="hybridMultilevel"/>
    <w:tmpl w:val="A82A0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F6"/>
    <w:rsid w:val="00064EDE"/>
    <w:rsid w:val="000D2D72"/>
    <w:rsid w:val="00122AED"/>
    <w:rsid w:val="00176547"/>
    <w:rsid w:val="0025722B"/>
    <w:rsid w:val="00263334"/>
    <w:rsid w:val="002D52A7"/>
    <w:rsid w:val="0033055B"/>
    <w:rsid w:val="004615E5"/>
    <w:rsid w:val="00476CA6"/>
    <w:rsid w:val="00515168"/>
    <w:rsid w:val="00555EC1"/>
    <w:rsid w:val="00594373"/>
    <w:rsid w:val="005A3286"/>
    <w:rsid w:val="006207C4"/>
    <w:rsid w:val="006A3269"/>
    <w:rsid w:val="00717E66"/>
    <w:rsid w:val="007275B7"/>
    <w:rsid w:val="007A1E37"/>
    <w:rsid w:val="00835620"/>
    <w:rsid w:val="008B5EF6"/>
    <w:rsid w:val="00952B6B"/>
    <w:rsid w:val="009B4C29"/>
    <w:rsid w:val="00A450B1"/>
    <w:rsid w:val="00AF6C43"/>
    <w:rsid w:val="00B338D1"/>
    <w:rsid w:val="00B6324E"/>
    <w:rsid w:val="00B65FA9"/>
    <w:rsid w:val="00B87D63"/>
    <w:rsid w:val="00C57757"/>
    <w:rsid w:val="00CB181B"/>
    <w:rsid w:val="00CC1C90"/>
    <w:rsid w:val="00CE2082"/>
    <w:rsid w:val="00D76BB5"/>
    <w:rsid w:val="00DB7C92"/>
    <w:rsid w:val="00DC26D5"/>
    <w:rsid w:val="00DC6A21"/>
    <w:rsid w:val="00DD30EA"/>
    <w:rsid w:val="00DF3AD1"/>
    <w:rsid w:val="00ED0271"/>
    <w:rsid w:val="00ED3C4A"/>
    <w:rsid w:val="00EF645D"/>
    <w:rsid w:val="00F624FB"/>
    <w:rsid w:val="00F7555F"/>
    <w:rsid w:val="00FB5DC3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FD1A1-1955-4189-A578-8ABDA98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2"/>
  </w:style>
  <w:style w:type="paragraph" w:styleId="Ttulo1">
    <w:name w:val="heading 1"/>
    <w:basedOn w:val="Normal"/>
    <w:next w:val="Normal"/>
    <w:link w:val="Ttulo1Car"/>
    <w:uiPriority w:val="9"/>
    <w:qFormat/>
    <w:rsid w:val="008B5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F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5EF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B5EF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E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mcyl@cesm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F3CC-F5E2-4F62-883F-95EF837F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MontseH</dc:creator>
  <cp:keywords/>
  <dc:description/>
  <cp:lastModifiedBy>Florencio</cp:lastModifiedBy>
  <cp:revision>2</cp:revision>
  <cp:lastPrinted>2017-06-28T10:07:00Z</cp:lastPrinted>
  <dcterms:created xsi:type="dcterms:W3CDTF">2018-11-09T14:15:00Z</dcterms:created>
  <dcterms:modified xsi:type="dcterms:W3CDTF">2018-11-09T14:15:00Z</dcterms:modified>
</cp:coreProperties>
</file>