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C" w:rsidRPr="005B33F6" w:rsidRDefault="00B659DC" w:rsidP="00B659DC">
      <w:pPr>
        <w:pStyle w:val="Prrafodelista"/>
        <w:numPr>
          <w:ilvl w:val="0"/>
          <w:numId w:val="2"/>
        </w:numPr>
        <w:spacing w:before="100" w:beforeAutospacing="1" w:after="240"/>
        <w:jc w:val="both"/>
        <w:rPr>
          <w:b/>
        </w:rPr>
      </w:pPr>
      <w:r w:rsidRPr="005B33F6">
        <w:rPr>
          <w:b/>
        </w:rPr>
        <w:t xml:space="preserve">Otros asuntos de interés: </w:t>
      </w:r>
    </w:p>
    <w:p w:rsidR="00B659DC" w:rsidRPr="00AF43EA" w:rsidRDefault="00B659DC" w:rsidP="00B659DC">
      <w:pPr>
        <w:pStyle w:val="Prrafodelista"/>
        <w:spacing w:before="100" w:beforeAutospacing="1" w:after="240"/>
        <w:jc w:val="both"/>
        <w:rPr>
          <w:b/>
        </w:rPr>
      </w:pPr>
    </w:p>
    <w:p w:rsidR="00B659DC" w:rsidRDefault="00B659DC" w:rsidP="00B659DC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AF43EA">
        <w:rPr>
          <w:bCs/>
        </w:rPr>
        <w:t xml:space="preserve">Sentencia TS Unificación de Doctrina sobre caducidad de la ultraactividad del convenio colectivo. </w:t>
      </w:r>
      <w:hyperlink r:id="rId5" w:tgtFrame="_blank" w:history="1">
        <w:r w:rsidRPr="00AF43EA">
          <w:rPr>
            <w:rStyle w:val="Hipervnculo"/>
          </w:rPr>
          <w:t xml:space="preserve">STS </w:t>
        </w:r>
        <w:proofErr w:type="spellStart"/>
        <w:r w:rsidRPr="00AF43EA">
          <w:rPr>
            <w:rStyle w:val="Hipervnculo"/>
          </w:rPr>
          <w:t>nº</w:t>
        </w:r>
        <w:proofErr w:type="spellEnd"/>
        <w:r w:rsidRPr="00AF43EA">
          <w:rPr>
            <w:rStyle w:val="Hipervnculo"/>
          </w:rPr>
          <w:t xml:space="preserve"> 657/2018 Social 21/06/2018</w:t>
        </w:r>
      </w:hyperlink>
      <w:r>
        <w:t xml:space="preserve">. </w:t>
      </w:r>
      <w:r w:rsidRPr="00AF43EA">
        <w:rPr>
          <w:bCs/>
        </w:rPr>
        <w:t>El Tribunal Supremo</w:t>
      </w:r>
      <w:r>
        <w:rPr>
          <w:bCs/>
        </w:rPr>
        <w:t xml:space="preserve"> </w:t>
      </w:r>
      <w:r w:rsidRPr="00AF43EA">
        <w:rPr>
          <w:bCs/>
        </w:rPr>
        <w:t>avala la caducidad de la ultraactividad de los convenios.</w:t>
      </w:r>
    </w:p>
    <w:p w:rsidR="00B659DC" w:rsidRDefault="00B659DC" w:rsidP="00B659DC">
      <w:pPr>
        <w:pStyle w:val="Prrafodelista"/>
        <w:spacing w:before="100" w:beforeAutospacing="1" w:after="100" w:afterAutospacing="1"/>
        <w:jc w:val="both"/>
        <w:rPr>
          <w:bCs/>
        </w:rPr>
      </w:pPr>
    </w:p>
    <w:p w:rsidR="00B659DC" w:rsidRDefault="00B659DC" w:rsidP="00B659DC">
      <w:pPr>
        <w:pStyle w:val="Prrafodelista"/>
        <w:spacing w:before="100" w:beforeAutospacing="1" w:after="100" w:afterAutospacing="1"/>
        <w:jc w:val="both"/>
      </w:pPr>
      <w:r w:rsidRPr="00AF43EA">
        <w:rPr>
          <w:bCs/>
        </w:rPr>
        <w:t>Fin de ultraactividad del convenio colectivo</w:t>
      </w:r>
      <w:r>
        <w:t xml:space="preserve">: </w:t>
      </w:r>
      <w:r w:rsidRPr="00AF43EA">
        <w:t xml:space="preserve">La regulación del régimen de ultraactividad legal implica, que </w:t>
      </w:r>
      <w:r w:rsidRPr="00AF43EA">
        <w:rPr>
          <w:u w:val="single"/>
        </w:rPr>
        <w:t xml:space="preserve">transcurrido un año desde la denuncia del convenio se aplicará, si </w:t>
      </w:r>
      <w:proofErr w:type="spellStart"/>
      <w:r w:rsidRPr="00AF43EA">
        <w:rPr>
          <w:u w:val="single"/>
        </w:rPr>
        <w:t>lo</w:t>
      </w:r>
      <w:proofErr w:type="spellEnd"/>
      <w:r w:rsidRPr="00AF43EA">
        <w:rPr>
          <w:u w:val="single"/>
        </w:rPr>
        <w:t xml:space="preserve"> hubiere, el convenio colectivo de ámbito superior que fuera de aplicación</w:t>
      </w:r>
      <w:r w:rsidRPr="002D3772">
        <w:t xml:space="preserve">. Con esta regulación se pretende evitar una 'petrificación' de las condiciones de trabajo pactadas en convenio y que no se demore en exceso el acuerdo renegociador. </w:t>
      </w:r>
    </w:p>
    <w:p w:rsidR="00B659DC" w:rsidRDefault="00B659DC" w:rsidP="00B659DC">
      <w:pPr>
        <w:pStyle w:val="Prrafodelista"/>
        <w:spacing w:before="100" w:beforeAutospacing="1" w:after="100" w:afterAutospacing="1"/>
        <w:jc w:val="both"/>
        <w:rPr>
          <w:bCs/>
        </w:rPr>
      </w:pPr>
    </w:p>
    <w:p w:rsidR="00B659DC" w:rsidRDefault="00B659DC" w:rsidP="00B659DC">
      <w:pPr>
        <w:pStyle w:val="Prrafodelista"/>
        <w:spacing w:before="100" w:beforeAutospacing="1" w:after="100" w:afterAutospacing="1"/>
        <w:jc w:val="both"/>
        <w:rPr>
          <w:bCs/>
        </w:rPr>
      </w:pPr>
      <w:r>
        <w:rPr>
          <w:bCs/>
        </w:rPr>
        <w:t>Así el</w:t>
      </w:r>
      <w:r w:rsidRPr="00AF43EA">
        <w:rPr>
          <w:bCs/>
        </w:rPr>
        <w:t xml:space="preserve"> Tribunal Supremo unifica doctrina </w:t>
      </w:r>
      <w:r>
        <w:rPr>
          <w:bCs/>
        </w:rPr>
        <w:t xml:space="preserve">y </w:t>
      </w:r>
      <w:r w:rsidRPr="00AF43EA">
        <w:rPr>
          <w:bCs/>
        </w:rPr>
        <w:t>avala que la ultraactividad de los convenios caduca al año</w:t>
      </w:r>
      <w:r>
        <w:rPr>
          <w:bCs/>
        </w:rPr>
        <w:t xml:space="preserve">, </w:t>
      </w:r>
      <w:r w:rsidRPr="00AF43EA">
        <w:rPr>
          <w:bCs/>
        </w:rPr>
        <w:t xml:space="preserve">periodo en el que el convenio anterior se sigue aplicando mientras se negocia uno nuevo, por lo que no procede aplicar el convenio anterior una vez pasado ese plazo. </w:t>
      </w:r>
    </w:p>
    <w:p w:rsidR="00B659DC" w:rsidRDefault="00B659DC" w:rsidP="00B659DC">
      <w:pPr>
        <w:pStyle w:val="Prrafodelista"/>
        <w:spacing w:before="100" w:beforeAutospacing="1" w:after="100" w:afterAutospacing="1"/>
        <w:jc w:val="both"/>
        <w:rPr>
          <w:bCs/>
        </w:rPr>
      </w:pPr>
    </w:p>
    <w:p w:rsidR="00B659DC" w:rsidRDefault="00B659DC" w:rsidP="00B659DC">
      <w:pPr>
        <w:pStyle w:val="Prrafodelista"/>
        <w:spacing w:before="100" w:beforeAutospacing="1" w:after="100" w:afterAutospacing="1"/>
        <w:jc w:val="both"/>
        <w:rPr>
          <w:bCs/>
        </w:rPr>
      </w:pPr>
      <w:r w:rsidRPr="00AF43EA">
        <w:rPr>
          <w:bCs/>
        </w:rPr>
        <w:t xml:space="preserve">Es decir, acepta que la </w:t>
      </w:r>
      <w:proofErr w:type="spellStart"/>
      <w:r w:rsidRPr="00AF43EA">
        <w:rPr>
          <w:bCs/>
        </w:rPr>
        <w:t>ultractividad</w:t>
      </w:r>
      <w:proofErr w:type="spellEnd"/>
      <w:r w:rsidRPr="00AF43EA">
        <w:rPr>
          <w:bCs/>
        </w:rPr>
        <w:t xml:space="preserve"> se aplique por un tiempo limitado, pero una vez transcurrido un año desde que haya sido denunciado por alguna de las partes, pas</w:t>
      </w:r>
      <w:r>
        <w:rPr>
          <w:bCs/>
        </w:rPr>
        <w:t>a</w:t>
      </w:r>
      <w:r w:rsidRPr="00AF43EA">
        <w:rPr>
          <w:bCs/>
        </w:rPr>
        <w:t xml:space="preserve"> a aplicarse el convenio superior.</w:t>
      </w:r>
    </w:p>
    <w:p w:rsidR="00B659DC" w:rsidRPr="00AF43EA" w:rsidRDefault="00B659DC" w:rsidP="00B659DC">
      <w:pPr>
        <w:pStyle w:val="Prrafodelista"/>
        <w:spacing w:before="100" w:beforeAutospacing="1" w:after="100" w:afterAutospacing="1"/>
        <w:jc w:val="both"/>
      </w:pPr>
    </w:p>
    <w:p w:rsidR="00B659DC" w:rsidRPr="00AF43EA" w:rsidRDefault="00B659DC" w:rsidP="00B659DC">
      <w:pPr>
        <w:pStyle w:val="Prrafodelista"/>
        <w:numPr>
          <w:ilvl w:val="0"/>
          <w:numId w:val="3"/>
        </w:numPr>
        <w:spacing w:before="100" w:beforeAutospacing="1" w:after="240" w:afterAutospacing="1"/>
        <w:jc w:val="both"/>
      </w:pPr>
      <w:r w:rsidRPr="00AF43EA">
        <w:t xml:space="preserve">Sentencia del </w:t>
      </w:r>
      <w:r w:rsidRPr="00AF43EA">
        <w:rPr>
          <w:bCs/>
        </w:rPr>
        <w:t>TJUE que exime a las embarazadas de trabajar en horario nocturno si existe riesgo para su salud</w:t>
      </w:r>
      <w:r>
        <w:rPr>
          <w:bCs/>
        </w:rPr>
        <w:t>.</w:t>
      </w:r>
      <w:r w:rsidRPr="00AF43EA">
        <w:rPr>
          <w:bCs/>
        </w:rPr>
        <w:t xml:space="preserve"> </w:t>
      </w:r>
    </w:p>
    <w:p w:rsidR="00B659DC" w:rsidRPr="00AF43EA" w:rsidRDefault="00B659DC" w:rsidP="00B659DC">
      <w:pPr>
        <w:pStyle w:val="Prrafodelista"/>
        <w:spacing w:before="100" w:beforeAutospacing="1" w:after="240" w:afterAutospacing="1"/>
        <w:jc w:val="both"/>
      </w:pPr>
    </w:p>
    <w:p w:rsidR="00B659DC" w:rsidRPr="000B0C3D" w:rsidRDefault="00B659DC" w:rsidP="00B659DC">
      <w:pPr>
        <w:pStyle w:val="Prrafodelista"/>
        <w:numPr>
          <w:ilvl w:val="0"/>
          <w:numId w:val="3"/>
        </w:numPr>
        <w:spacing w:before="100" w:beforeAutospacing="1" w:after="240" w:afterAutospacing="1"/>
        <w:jc w:val="both"/>
      </w:pPr>
      <w:r w:rsidRPr="00AF43EA">
        <w:rPr>
          <w:bCs/>
        </w:rPr>
        <w:t>Sentencia TJUE en relación con la Directiva 2003/88/CE y el concepto “tiempo de trabajo”</w:t>
      </w:r>
      <w:r>
        <w:rPr>
          <w:bCs/>
        </w:rPr>
        <w:t>.</w:t>
      </w:r>
    </w:p>
    <w:p w:rsidR="00B659DC" w:rsidRPr="000B0C3D" w:rsidRDefault="00B659DC" w:rsidP="00B659DC">
      <w:pPr>
        <w:pStyle w:val="Prrafodelista"/>
      </w:pPr>
    </w:p>
    <w:p w:rsidR="00B659DC" w:rsidRPr="00AA1A6E" w:rsidRDefault="00B659DC" w:rsidP="00B659DC">
      <w:pPr>
        <w:pStyle w:val="Prrafodelista"/>
        <w:rPr>
          <w:b/>
        </w:rPr>
      </w:pPr>
    </w:p>
    <w:p w:rsidR="00B659DC" w:rsidRPr="00AA1A6E" w:rsidRDefault="00B659DC" w:rsidP="00B659D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</w:pPr>
      <w:r w:rsidRPr="00AA1A6E">
        <w:rPr>
          <w:b/>
        </w:rPr>
        <w:t xml:space="preserve">Sueldo base de los EIR: Variación a la baja en algunas comunidades autónomas. </w:t>
      </w:r>
      <w:r w:rsidRPr="00AA1A6E">
        <w:t>Asunto no comentado por falta de tiempo.</w:t>
      </w:r>
    </w:p>
    <w:p w:rsidR="00646F37" w:rsidRDefault="00646F37">
      <w:bookmarkStart w:id="0" w:name="_GoBack"/>
      <w:bookmarkEnd w:id="0"/>
    </w:p>
    <w:sectPr w:rsidR="00646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DB8"/>
    <w:multiLevelType w:val="hybridMultilevel"/>
    <w:tmpl w:val="FB5E0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D34"/>
    <w:multiLevelType w:val="hybridMultilevel"/>
    <w:tmpl w:val="B226E2D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3AAA"/>
    <w:multiLevelType w:val="hybridMultilevel"/>
    <w:tmpl w:val="1504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DC"/>
    <w:rsid w:val="00646F37"/>
    <w:rsid w:val="00B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25D8-2A49-4694-9421-9A76BAC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9D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65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drillapp.com/track/click/12447355/go.vlex.com?p=eyJzIjoiVnhnRG8tMnRwZzVVZ1lnNXlSLVpZOEl0TzVRIiwidiI6MSwicCI6IntcInVcIjoxMjQ0NzM1NSxcInZcIjoxLFwidXJsXCI6XCJodHRwOlxcXC9cXFwvZ28udmxleC5jb21cXFwvdmlkXFxcLzczNjEyMjIxNz91dG1fc291cmNlPWVtYWlsJnV0bV9jYW1wYWlnbj1kaWdlc3QtZXNcIixcImlkXCI6XCJmZjMyZmU3YTc5YmE0NWRiYTM3OWRmODVkOTdhOGY1ZlwiLFwidXJsX2lkc1wiOltcImVmMDM4ZGFlMjgzNDVkZDc2MWUxOGUzOGZiNWIxMDAyMmMyOTY1OWFcIl19I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1</cp:revision>
  <dcterms:created xsi:type="dcterms:W3CDTF">2018-12-12T14:57:00Z</dcterms:created>
  <dcterms:modified xsi:type="dcterms:W3CDTF">2018-12-12T14:58:00Z</dcterms:modified>
</cp:coreProperties>
</file>