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69E" w:rsidRDefault="008853CA" w:rsidP="009F7FB9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6038850" cy="1828800"/>
            <wp:effectExtent l="0" t="0" r="0" b="0"/>
            <wp:docPr id="1" name="Imagen 1" descr="Logo-alto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lto-2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69E" w:rsidRDefault="0038769E" w:rsidP="009B3BD1">
      <w:pPr>
        <w:jc w:val="center"/>
        <w:rPr>
          <w:rFonts w:ascii="Verdana" w:hAnsi="Verdana" w:cs="Arial"/>
          <w:b/>
          <w:color w:val="833C0B"/>
          <w:sz w:val="44"/>
          <w:szCs w:val="44"/>
        </w:rPr>
      </w:pPr>
      <w:r w:rsidRPr="003F2DEE">
        <w:rPr>
          <w:rFonts w:ascii="Verdana" w:hAnsi="Verdana" w:cs="Arial"/>
          <w:b/>
          <w:color w:val="833C0B"/>
          <w:sz w:val="44"/>
          <w:szCs w:val="44"/>
        </w:rPr>
        <w:t xml:space="preserve">Decálogo de Objetivos </w:t>
      </w:r>
    </w:p>
    <w:p w:rsidR="00FF40F6" w:rsidRDefault="00E77DCB" w:rsidP="009B3BD1">
      <w:pPr>
        <w:jc w:val="center"/>
        <w:rPr>
          <w:rFonts w:ascii="Verdana" w:hAnsi="Verdana" w:cs="Arial"/>
          <w:b/>
          <w:color w:val="833C0B"/>
          <w:sz w:val="44"/>
          <w:szCs w:val="44"/>
        </w:rPr>
      </w:pPr>
      <w:hyperlink r:id="rId9" w:history="1">
        <w:r w:rsidR="001A6F00" w:rsidRPr="001A6F00">
          <w:rPr>
            <w:rFonts w:ascii="Verdana" w:hAnsi="Verdana" w:cs="Arial"/>
            <w:b/>
            <w:color w:val="833C0B"/>
            <w:sz w:val="44"/>
            <w:szCs w:val="44"/>
          </w:rPr>
          <w:t>#PasiónPorLaPrimaria</w:t>
        </w:r>
      </w:hyperlink>
    </w:p>
    <w:p w:rsidR="009144B0" w:rsidRDefault="00FF40F6" w:rsidP="009B3BD1">
      <w:pPr>
        <w:jc w:val="center"/>
        <w:rPr>
          <w:rFonts w:ascii="Verdana" w:hAnsi="Verdana" w:cs="Arial"/>
          <w:b/>
          <w:color w:val="833C0B"/>
          <w:sz w:val="32"/>
          <w:szCs w:val="44"/>
        </w:rPr>
      </w:pPr>
      <w:r w:rsidRPr="009144B0">
        <w:rPr>
          <w:rFonts w:ascii="Verdana" w:hAnsi="Verdana" w:cs="Arial"/>
          <w:b/>
          <w:color w:val="833C0B"/>
          <w:sz w:val="32"/>
          <w:szCs w:val="44"/>
        </w:rPr>
        <w:t>Día</w:t>
      </w:r>
      <w:r w:rsidR="009144B0" w:rsidRPr="009144B0">
        <w:rPr>
          <w:rFonts w:ascii="Optimum-Bold" w:hAnsi="Optimum-Bold" w:cs="Optimum-Bold"/>
          <w:b/>
          <w:bCs/>
          <w:color w:val="540000"/>
          <w:sz w:val="18"/>
          <w:szCs w:val="24"/>
          <w:lang w:eastAsia="es-ES"/>
        </w:rPr>
        <w:t xml:space="preserve"> </w:t>
      </w:r>
      <w:r w:rsidRPr="009144B0">
        <w:rPr>
          <w:rFonts w:ascii="Verdana" w:hAnsi="Verdana" w:cs="Arial"/>
          <w:b/>
          <w:color w:val="833C0B"/>
          <w:sz w:val="32"/>
          <w:szCs w:val="44"/>
        </w:rPr>
        <w:t>nacional de la atención primaria</w:t>
      </w:r>
      <w:r w:rsidR="009144B0">
        <w:rPr>
          <w:rFonts w:ascii="Verdana" w:hAnsi="Verdana" w:cs="Arial"/>
          <w:b/>
          <w:color w:val="833C0B"/>
          <w:sz w:val="32"/>
          <w:szCs w:val="44"/>
        </w:rPr>
        <w:t xml:space="preserve"> 2019</w:t>
      </w:r>
    </w:p>
    <w:p w:rsidR="001A6F00" w:rsidRPr="001A6F00" w:rsidRDefault="001A6F00" w:rsidP="009B3BD1">
      <w:pPr>
        <w:jc w:val="center"/>
        <w:rPr>
          <w:rFonts w:ascii="Verdana" w:hAnsi="Verdana" w:cs="Arial"/>
          <w:b/>
          <w:color w:val="833C0B"/>
          <w:sz w:val="2"/>
          <w:szCs w:val="44"/>
        </w:rPr>
      </w:pPr>
    </w:p>
    <w:p w:rsidR="0038769E" w:rsidRPr="003F2DEE" w:rsidRDefault="0038769E" w:rsidP="001311A6">
      <w:pPr>
        <w:widowControl w:val="0"/>
        <w:numPr>
          <w:ilvl w:val="0"/>
          <w:numId w:val="1"/>
        </w:numPr>
        <w:suppressAutoHyphens/>
        <w:spacing w:before="113" w:after="0" w:line="240" w:lineRule="auto"/>
        <w:jc w:val="both"/>
        <w:rPr>
          <w:rFonts w:ascii="Arial" w:hAnsi="Arial" w:cs="Arial"/>
          <w:color w:val="833C0B"/>
          <w:szCs w:val="24"/>
        </w:rPr>
      </w:pPr>
      <w:r w:rsidRPr="003F2DEE">
        <w:rPr>
          <w:rFonts w:ascii="Arial" w:hAnsi="Arial" w:cs="Arial"/>
          <w:color w:val="833C0B"/>
          <w:szCs w:val="24"/>
        </w:rPr>
        <w:t xml:space="preserve">La </w:t>
      </w:r>
      <w:r w:rsidRPr="003F2DEE">
        <w:rPr>
          <w:rFonts w:ascii="Arial" w:hAnsi="Arial" w:cs="Arial"/>
          <w:b/>
          <w:color w:val="833C0B"/>
          <w:szCs w:val="24"/>
        </w:rPr>
        <w:t>Atención Primaria es el eje del sistema sanitario</w:t>
      </w:r>
      <w:r w:rsidRPr="003F2DEE">
        <w:rPr>
          <w:rFonts w:ascii="Arial" w:hAnsi="Arial" w:cs="Arial"/>
          <w:color w:val="833C0B"/>
          <w:szCs w:val="24"/>
        </w:rPr>
        <w:t>, y así debe ser reconocida a todos los efectos: incremento presupuestario, dotación adecuada de recursos humanos, aumento de la capacidad de realización de pruebas diagnósticas...</w:t>
      </w:r>
    </w:p>
    <w:p w:rsidR="0038769E" w:rsidRPr="003F2DEE" w:rsidRDefault="0038769E" w:rsidP="00C423E5">
      <w:pPr>
        <w:numPr>
          <w:ilvl w:val="1"/>
          <w:numId w:val="1"/>
        </w:numPr>
        <w:tabs>
          <w:tab w:val="left" w:pos="-2094"/>
        </w:tabs>
        <w:suppressAutoHyphens/>
        <w:spacing w:before="113" w:after="0" w:line="100" w:lineRule="atLeast"/>
        <w:ind w:left="1040"/>
        <w:jc w:val="both"/>
        <w:rPr>
          <w:rFonts w:ascii="Arial" w:hAnsi="Arial" w:cs="Arial"/>
          <w:color w:val="833C0B"/>
          <w:szCs w:val="24"/>
        </w:rPr>
      </w:pPr>
      <w:r w:rsidRPr="003F2DEE">
        <w:rPr>
          <w:rFonts w:ascii="Arial" w:hAnsi="Arial" w:cs="Arial"/>
          <w:color w:val="833C0B"/>
          <w:szCs w:val="24"/>
        </w:rPr>
        <w:t>Incremento del presupuesto de AP dentro del sistema sanitario en los próximos presupuestos. Objetivo: 16% en un año y 20% en cuatro años.</w:t>
      </w:r>
    </w:p>
    <w:p w:rsidR="0038769E" w:rsidRPr="003F2DEE" w:rsidRDefault="0038769E" w:rsidP="00C423E5">
      <w:pPr>
        <w:numPr>
          <w:ilvl w:val="1"/>
          <w:numId w:val="1"/>
        </w:numPr>
        <w:tabs>
          <w:tab w:val="left" w:pos="-2094"/>
        </w:tabs>
        <w:suppressAutoHyphens/>
        <w:spacing w:before="113" w:after="0" w:line="100" w:lineRule="atLeast"/>
        <w:ind w:left="1040"/>
        <w:jc w:val="both"/>
        <w:rPr>
          <w:color w:val="833C0B"/>
          <w:szCs w:val="24"/>
        </w:rPr>
      </w:pPr>
      <w:r w:rsidRPr="003F2DEE">
        <w:rPr>
          <w:rFonts w:ascii="Arial" w:hAnsi="Arial" w:cs="Arial"/>
          <w:color w:val="833C0B"/>
          <w:szCs w:val="24"/>
        </w:rPr>
        <w:t>Determinación de criterios para la adecuación de las plantillas profesionales a la realidad sociodemográfica de la población a atender</w:t>
      </w:r>
      <w:r w:rsidR="00813493" w:rsidRPr="003F2DEE">
        <w:rPr>
          <w:rFonts w:ascii="Arial" w:hAnsi="Arial" w:cs="Arial"/>
          <w:color w:val="833C0B"/>
          <w:szCs w:val="24"/>
        </w:rPr>
        <w:t>.</w:t>
      </w:r>
    </w:p>
    <w:p w:rsidR="00A974A4" w:rsidRPr="003F2DEE" w:rsidRDefault="00A974A4" w:rsidP="00A974A4">
      <w:pPr>
        <w:tabs>
          <w:tab w:val="left" w:pos="-2094"/>
        </w:tabs>
        <w:suppressAutoHyphens/>
        <w:spacing w:before="113" w:after="0" w:line="100" w:lineRule="atLeast"/>
        <w:jc w:val="both"/>
        <w:rPr>
          <w:color w:val="833C0B"/>
          <w:sz w:val="4"/>
          <w:szCs w:val="24"/>
        </w:rPr>
      </w:pPr>
    </w:p>
    <w:p w:rsidR="0038769E" w:rsidRPr="003F2DEE" w:rsidRDefault="0038769E" w:rsidP="001311A6">
      <w:pPr>
        <w:widowControl w:val="0"/>
        <w:numPr>
          <w:ilvl w:val="0"/>
          <w:numId w:val="1"/>
        </w:numPr>
        <w:suppressAutoHyphens/>
        <w:spacing w:before="113" w:after="0" w:line="240" w:lineRule="auto"/>
        <w:jc w:val="both"/>
        <w:rPr>
          <w:rFonts w:ascii="Arial" w:hAnsi="Arial" w:cs="Arial"/>
          <w:color w:val="833C0B"/>
          <w:szCs w:val="24"/>
        </w:rPr>
      </w:pPr>
      <w:r w:rsidRPr="003F2DEE">
        <w:rPr>
          <w:rFonts w:ascii="Arial" w:hAnsi="Arial" w:cs="Arial"/>
          <w:color w:val="833C0B"/>
          <w:szCs w:val="24"/>
        </w:rPr>
        <w:t xml:space="preserve">La </w:t>
      </w:r>
      <w:r w:rsidRPr="003F2DEE">
        <w:rPr>
          <w:rFonts w:ascii="Arial" w:hAnsi="Arial" w:cs="Arial"/>
          <w:b/>
          <w:color w:val="833C0B"/>
          <w:szCs w:val="24"/>
        </w:rPr>
        <w:t>Atención Primaria debe liderar</w:t>
      </w:r>
      <w:r w:rsidRPr="003F2DEE">
        <w:rPr>
          <w:rFonts w:ascii="Arial" w:hAnsi="Arial" w:cs="Arial"/>
          <w:color w:val="833C0B"/>
          <w:szCs w:val="24"/>
        </w:rPr>
        <w:t xml:space="preserve">, por tanto, la gestión de los </w:t>
      </w:r>
      <w:r w:rsidRPr="00DB4227">
        <w:rPr>
          <w:rFonts w:ascii="Arial" w:hAnsi="Arial" w:cs="Arial"/>
          <w:b/>
          <w:color w:val="833C0B"/>
          <w:szCs w:val="24"/>
        </w:rPr>
        <w:t>procesos del enfermo crónico</w:t>
      </w:r>
      <w:r w:rsidRPr="003F2DEE">
        <w:rPr>
          <w:rFonts w:ascii="Arial" w:hAnsi="Arial" w:cs="Arial"/>
          <w:color w:val="833C0B"/>
          <w:szCs w:val="24"/>
        </w:rPr>
        <w:t xml:space="preserve"> dentro del sistema sanitario y social, incluyendo la coordinación con el nivel hospitalario, centros geriátricos y de discapacitados, asociaciones de pacientes…</w:t>
      </w:r>
    </w:p>
    <w:p w:rsidR="0038769E" w:rsidRPr="003F2DEE" w:rsidRDefault="0038769E" w:rsidP="00C423E5">
      <w:pPr>
        <w:numPr>
          <w:ilvl w:val="0"/>
          <w:numId w:val="3"/>
        </w:numPr>
        <w:tabs>
          <w:tab w:val="left" w:pos="-2094"/>
        </w:tabs>
        <w:suppressAutoHyphens/>
        <w:spacing w:before="113" w:after="0" w:line="100" w:lineRule="atLeast"/>
        <w:ind w:left="1097"/>
        <w:jc w:val="both"/>
        <w:rPr>
          <w:color w:val="833C0B"/>
          <w:szCs w:val="24"/>
        </w:rPr>
      </w:pPr>
      <w:r w:rsidRPr="003F2DEE">
        <w:rPr>
          <w:rFonts w:ascii="Arial" w:hAnsi="Arial" w:cs="Arial"/>
          <w:color w:val="833C0B"/>
          <w:szCs w:val="24"/>
        </w:rPr>
        <w:t>En todos los procesos que se desarrollen dentro de la Estrategia Nacional de Enfermedades Crónicas debe quedar patente el papel fundamental del médico de Atención Primaria</w:t>
      </w:r>
      <w:r w:rsidR="00813493" w:rsidRPr="003F2DEE">
        <w:rPr>
          <w:rFonts w:ascii="Arial" w:hAnsi="Arial" w:cs="Arial"/>
          <w:color w:val="833C0B"/>
          <w:szCs w:val="24"/>
        </w:rPr>
        <w:t>.</w:t>
      </w:r>
    </w:p>
    <w:p w:rsidR="00A974A4" w:rsidRPr="003F2DEE" w:rsidRDefault="00A974A4" w:rsidP="00A974A4">
      <w:pPr>
        <w:tabs>
          <w:tab w:val="left" w:pos="-2094"/>
        </w:tabs>
        <w:suppressAutoHyphens/>
        <w:spacing w:before="113" w:after="0" w:line="100" w:lineRule="atLeast"/>
        <w:jc w:val="both"/>
        <w:rPr>
          <w:color w:val="833C0B"/>
          <w:sz w:val="4"/>
          <w:szCs w:val="24"/>
        </w:rPr>
      </w:pPr>
    </w:p>
    <w:p w:rsidR="0038769E" w:rsidRPr="003F2DEE" w:rsidRDefault="0038769E" w:rsidP="001311A6">
      <w:pPr>
        <w:widowControl w:val="0"/>
        <w:numPr>
          <w:ilvl w:val="0"/>
          <w:numId w:val="1"/>
        </w:numPr>
        <w:suppressAutoHyphens/>
        <w:spacing w:before="113" w:after="0" w:line="240" w:lineRule="auto"/>
        <w:jc w:val="both"/>
        <w:rPr>
          <w:rFonts w:ascii="Arial" w:hAnsi="Arial" w:cs="Arial"/>
          <w:color w:val="833C0B"/>
          <w:szCs w:val="24"/>
        </w:rPr>
      </w:pPr>
      <w:r w:rsidRPr="003F2DEE">
        <w:rPr>
          <w:rFonts w:ascii="Arial" w:hAnsi="Arial" w:cs="Arial"/>
          <w:b/>
          <w:color w:val="833C0B"/>
          <w:szCs w:val="24"/>
        </w:rPr>
        <w:t>Los Médicos de familia y pediatras deben, a su vez, liderar</w:t>
      </w:r>
      <w:r w:rsidRPr="003F2DEE">
        <w:rPr>
          <w:rFonts w:ascii="Arial" w:hAnsi="Arial" w:cs="Arial"/>
          <w:color w:val="833C0B"/>
          <w:szCs w:val="24"/>
        </w:rPr>
        <w:t xml:space="preserve"> la toma de decisiones relacionadas con la </w:t>
      </w:r>
      <w:r w:rsidRPr="00DB4227">
        <w:rPr>
          <w:rFonts w:ascii="Arial" w:hAnsi="Arial" w:cs="Arial"/>
          <w:b/>
          <w:color w:val="833C0B"/>
          <w:szCs w:val="24"/>
        </w:rPr>
        <w:t>organización y gestión de los recursos sanitarios.</w:t>
      </w:r>
    </w:p>
    <w:p w:rsidR="0038769E" w:rsidRPr="003F2DEE" w:rsidRDefault="0038769E" w:rsidP="00C423E5">
      <w:pPr>
        <w:numPr>
          <w:ilvl w:val="1"/>
          <w:numId w:val="1"/>
        </w:numPr>
        <w:tabs>
          <w:tab w:val="left" w:pos="-2094"/>
        </w:tabs>
        <w:suppressAutoHyphens/>
        <w:spacing w:before="113" w:after="0" w:line="100" w:lineRule="atLeast"/>
        <w:ind w:left="1077"/>
        <w:jc w:val="both"/>
        <w:rPr>
          <w:rFonts w:ascii="Arial" w:hAnsi="Arial" w:cs="Arial"/>
          <w:color w:val="833C0B"/>
          <w:szCs w:val="24"/>
        </w:rPr>
      </w:pPr>
      <w:r w:rsidRPr="003F2DEE">
        <w:rPr>
          <w:rFonts w:ascii="Arial" w:hAnsi="Arial" w:cs="Arial"/>
          <w:color w:val="833C0B"/>
          <w:szCs w:val="24"/>
        </w:rPr>
        <w:t>Creación de estructuras de participación activa de los médicos en la gestión estratégica de la Atención Primaria</w:t>
      </w:r>
      <w:r w:rsidR="00813493" w:rsidRPr="003F2DEE">
        <w:rPr>
          <w:rFonts w:ascii="Arial" w:hAnsi="Arial" w:cs="Arial"/>
          <w:color w:val="833C0B"/>
          <w:szCs w:val="24"/>
        </w:rPr>
        <w:t>.</w:t>
      </w:r>
      <w:r w:rsidRPr="003F2DEE">
        <w:rPr>
          <w:rFonts w:ascii="Arial" w:hAnsi="Arial" w:cs="Arial"/>
          <w:color w:val="833C0B"/>
          <w:szCs w:val="24"/>
        </w:rPr>
        <w:t xml:space="preserve"> </w:t>
      </w:r>
    </w:p>
    <w:p w:rsidR="0038769E" w:rsidRPr="003F2DEE" w:rsidRDefault="0038769E" w:rsidP="00C423E5">
      <w:pPr>
        <w:numPr>
          <w:ilvl w:val="1"/>
          <w:numId w:val="1"/>
        </w:numPr>
        <w:tabs>
          <w:tab w:val="left" w:pos="-2094"/>
        </w:tabs>
        <w:suppressAutoHyphens/>
        <w:spacing w:before="113" w:after="0" w:line="100" w:lineRule="atLeast"/>
        <w:ind w:left="1077"/>
        <w:jc w:val="both"/>
        <w:rPr>
          <w:color w:val="833C0B"/>
          <w:szCs w:val="24"/>
        </w:rPr>
      </w:pPr>
      <w:r w:rsidRPr="003F2DEE">
        <w:rPr>
          <w:rFonts w:ascii="Arial" w:hAnsi="Arial" w:cs="Arial"/>
          <w:color w:val="833C0B"/>
          <w:szCs w:val="24"/>
        </w:rPr>
        <w:t>Definición, desde esas estructuras de participación, de los procesos de selección del personal directivo de los centros de salud (profesionalización de la gestión)</w:t>
      </w:r>
    </w:p>
    <w:p w:rsidR="00A974A4" w:rsidRPr="003F2DEE" w:rsidRDefault="00A974A4" w:rsidP="00C423E5">
      <w:pPr>
        <w:tabs>
          <w:tab w:val="left" w:pos="-2094"/>
        </w:tabs>
        <w:suppressAutoHyphens/>
        <w:spacing w:before="113" w:after="0" w:line="100" w:lineRule="atLeast"/>
        <w:ind w:left="1077"/>
        <w:jc w:val="both"/>
        <w:rPr>
          <w:color w:val="833C0B"/>
          <w:sz w:val="4"/>
          <w:szCs w:val="24"/>
        </w:rPr>
      </w:pPr>
    </w:p>
    <w:p w:rsidR="0038769E" w:rsidRPr="003F2DEE" w:rsidRDefault="0038769E" w:rsidP="001311A6">
      <w:pPr>
        <w:widowControl w:val="0"/>
        <w:numPr>
          <w:ilvl w:val="0"/>
          <w:numId w:val="1"/>
        </w:numPr>
        <w:suppressAutoHyphens/>
        <w:spacing w:before="113" w:after="0" w:line="240" w:lineRule="auto"/>
        <w:jc w:val="both"/>
        <w:rPr>
          <w:rFonts w:ascii="Arial" w:hAnsi="Arial" w:cs="Arial"/>
          <w:color w:val="833C0B"/>
          <w:szCs w:val="24"/>
        </w:rPr>
      </w:pPr>
      <w:r w:rsidRPr="003F2DEE">
        <w:rPr>
          <w:rFonts w:ascii="Arial" w:hAnsi="Arial" w:cs="Arial"/>
          <w:color w:val="833C0B"/>
          <w:szCs w:val="24"/>
        </w:rPr>
        <w:t xml:space="preserve">Dado su papel central en el sistema sanitario, los </w:t>
      </w:r>
      <w:r w:rsidRPr="003F2DEE">
        <w:rPr>
          <w:rFonts w:ascii="Arial" w:hAnsi="Arial" w:cs="Arial"/>
          <w:b/>
          <w:color w:val="833C0B"/>
          <w:szCs w:val="24"/>
        </w:rPr>
        <w:t>médicos de familia y pediatras deben tener acceso al catálogo completo de pruebas complementarias</w:t>
      </w:r>
      <w:r w:rsidRPr="003F2DEE">
        <w:rPr>
          <w:rFonts w:ascii="Arial" w:hAnsi="Arial" w:cs="Arial"/>
          <w:color w:val="833C0B"/>
          <w:szCs w:val="24"/>
        </w:rPr>
        <w:t xml:space="preserve"> según indicación razonada y criterios de eficiencia clínica.</w:t>
      </w:r>
    </w:p>
    <w:p w:rsidR="0038769E" w:rsidRPr="003F2DEE" w:rsidRDefault="0038769E" w:rsidP="00C423E5">
      <w:pPr>
        <w:numPr>
          <w:ilvl w:val="1"/>
          <w:numId w:val="1"/>
        </w:numPr>
        <w:tabs>
          <w:tab w:val="left" w:pos="-2094"/>
        </w:tabs>
        <w:suppressAutoHyphens/>
        <w:spacing w:before="113" w:after="0" w:line="100" w:lineRule="atLeast"/>
        <w:ind w:left="1040"/>
        <w:jc w:val="both"/>
        <w:rPr>
          <w:rFonts w:ascii="Arial" w:hAnsi="Arial" w:cs="Arial"/>
          <w:color w:val="833C0B"/>
          <w:szCs w:val="24"/>
        </w:rPr>
      </w:pPr>
      <w:r w:rsidRPr="003F2DEE">
        <w:rPr>
          <w:rFonts w:ascii="Arial" w:hAnsi="Arial" w:cs="Arial"/>
          <w:color w:val="833C0B"/>
          <w:szCs w:val="24"/>
        </w:rPr>
        <w:t>Incremento de la disponibilidad de pruebas diagnósticas en AP (ecografía, radiología, endoscopias...)</w:t>
      </w:r>
    </w:p>
    <w:p w:rsidR="0038769E" w:rsidRDefault="0038769E" w:rsidP="00C423E5">
      <w:pPr>
        <w:numPr>
          <w:ilvl w:val="1"/>
          <w:numId w:val="1"/>
        </w:numPr>
        <w:tabs>
          <w:tab w:val="left" w:pos="-2094"/>
        </w:tabs>
        <w:suppressAutoHyphens/>
        <w:spacing w:before="113" w:after="0" w:line="100" w:lineRule="atLeast"/>
        <w:ind w:left="1040"/>
        <w:jc w:val="both"/>
        <w:rPr>
          <w:rFonts w:ascii="Arial" w:hAnsi="Arial" w:cs="Arial"/>
          <w:color w:val="833C0B"/>
          <w:szCs w:val="24"/>
        </w:rPr>
      </w:pPr>
      <w:r w:rsidRPr="003F2DEE">
        <w:rPr>
          <w:rFonts w:ascii="Arial" w:hAnsi="Arial" w:cs="Arial"/>
          <w:color w:val="833C0B"/>
          <w:szCs w:val="24"/>
        </w:rPr>
        <w:t>Definición de un catálogo de pruebas complementarias homogéneo en todo el Estado español</w:t>
      </w:r>
      <w:r w:rsidR="00813493" w:rsidRPr="003F2DEE">
        <w:rPr>
          <w:rFonts w:ascii="Arial" w:hAnsi="Arial" w:cs="Arial"/>
          <w:color w:val="833C0B"/>
          <w:szCs w:val="24"/>
        </w:rPr>
        <w:t>.</w:t>
      </w:r>
    </w:p>
    <w:p w:rsidR="003A09E5" w:rsidRPr="003F2DEE" w:rsidRDefault="003A09E5" w:rsidP="003A09E5">
      <w:pPr>
        <w:tabs>
          <w:tab w:val="left" w:pos="-2094"/>
        </w:tabs>
        <w:suppressAutoHyphens/>
        <w:spacing w:before="113" w:after="0" w:line="100" w:lineRule="atLeast"/>
        <w:ind w:left="1040"/>
        <w:jc w:val="both"/>
        <w:rPr>
          <w:rFonts w:ascii="Arial" w:hAnsi="Arial" w:cs="Arial"/>
          <w:color w:val="833C0B"/>
          <w:szCs w:val="24"/>
        </w:rPr>
      </w:pPr>
    </w:p>
    <w:p w:rsidR="0038769E" w:rsidRPr="003F2DEE" w:rsidRDefault="0038769E" w:rsidP="001311A6">
      <w:pPr>
        <w:widowControl w:val="0"/>
        <w:numPr>
          <w:ilvl w:val="0"/>
          <w:numId w:val="1"/>
        </w:numPr>
        <w:suppressAutoHyphens/>
        <w:spacing w:before="113" w:after="0" w:line="240" w:lineRule="auto"/>
        <w:jc w:val="both"/>
        <w:rPr>
          <w:rFonts w:ascii="Arial" w:hAnsi="Arial" w:cs="Arial"/>
          <w:color w:val="833C0B"/>
          <w:szCs w:val="24"/>
        </w:rPr>
      </w:pPr>
      <w:r w:rsidRPr="003F2DEE">
        <w:rPr>
          <w:rFonts w:ascii="Arial" w:hAnsi="Arial" w:cs="Arial"/>
          <w:color w:val="833C0B"/>
          <w:szCs w:val="24"/>
        </w:rPr>
        <w:t xml:space="preserve">El ejercicio de la Medicina en Atención Primaria debe tener un </w:t>
      </w:r>
      <w:r w:rsidRPr="003F2DEE">
        <w:rPr>
          <w:rFonts w:ascii="Arial" w:hAnsi="Arial" w:cs="Arial"/>
          <w:b/>
          <w:color w:val="833C0B"/>
          <w:szCs w:val="24"/>
        </w:rPr>
        <w:t>entorno profesional y laboral atractivo:</w:t>
      </w:r>
      <w:r w:rsidRPr="003F2DEE">
        <w:rPr>
          <w:rFonts w:ascii="Arial" w:hAnsi="Arial" w:cs="Arial"/>
          <w:color w:val="833C0B"/>
          <w:szCs w:val="24"/>
        </w:rPr>
        <w:t xml:space="preserve"> estabilidad, incentivación basada en criterios profesionales, reconocimiento de la penosidad (turnos de tarde, soledad...)</w:t>
      </w:r>
    </w:p>
    <w:p w:rsidR="0038769E" w:rsidRPr="003F2DEE" w:rsidRDefault="0038769E" w:rsidP="00F9273C">
      <w:pPr>
        <w:numPr>
          <w:ilvl w:val="1"/>
          <w:numId w:val="1"/>
        </w:numPr>
        <w:tabs>
          <w:tab w:val="left" w:pos="-2094"/>
        </w:tabs>
        <w:suppressAutoHyphens/>
        <w:spacing w:before="60" w:after="0" w:line="100" w:lineRule="atLeast"/>
        <w:ind w:left="1040"/>
        <w:rPr>
          <w:rFonts w:ascii="Arial" w:hAnsi="Arial" w:cs="Arial"/>
          <w:color w:val="833C0B"/>
          <w:szCs w:val="24"/>
        </w:rPr>
      </w:pPr>
      <w:r w:rsidRPr="003F2DEE">
        <w:rPr>
          <w:rFonts w:ascii="Arial" w:hAnsi="Arial" w:cs="Arial"/>
          <w:color w:val="833C0B"/>
          <w:szCs w:val="24"/>
        </w:rPr>
        <w:t>Carrera profesional vinculada a un auténtico proceso de desarrollo profesional y científico evaluable en el tiempo.</w:t>
      </w:r>
    </w:p>
    <w:p w:rsidR="00A974A4" w:rsidRPr="003F2DEE" w:rsidRDefault="0038769E" w:rsidP="00F9273C">
      <w:pPr>
        <w:numPr>
          <w:ilvl w:val="1"/>
          <w:numId w:val="1"/>
        </w:numPr>
        <w:tabs>
          <w:tab w:val="left" w:pos="-2094"/>
        </w:tabs>
        <w:suppressAutoHyphens/>
        <w:spacing w:before="60" w:after="0" w:line="100" w:lineRule="atLeast"/>
        <w:ind w:left="1040"/>
        <w:jc w:val="both"/>
        <w:rPr>
          <w:rFonts w:ascii="Arial" w:hAnsi="Arial" w:cs="Arial"/>
          <w:color w:val="833C0B"/>
          <w:szCs w:val="24"/>
        </w:rPr>
      </w:pPr>
      <w:r w:rsidRPr="003F2DEE">
        <w:rPr>
          <w:rFonts w:ascii="Arial" w:hAnsi="Arial" w:cs="Arial"/>
          <w:color w:val="833C0B"/>
          <w:szCs w:val="24"/>
        </w:rPr>
        <w:t>Estabilización del ejercicio profesional mediante la realización periódica de procesos selectivos</w:t>
      </w:r>
      <w:r w:rsidR="00813493" w:rsidRPr="003F2DEE">
        <w:rPr>
          <w:rFonts w:ascii="Arial" w:hAnsi="Arial" w:cs="Arial"/>
          <w:color w:val="833C0B"/>
          <w:szCs w:val="24"/>
        </w:rPr>
        <w:t>.</w:t>
      </w:r>
    </w:p>
    <w:p w:rsidR="00A974A4" w:rsidRPr="003F2DEE" w:rsidRDefault="00A974A4" w:rsidP="00A974A4">
      <w:pPr>
        <w:tabs>
          <w:tab w:val="left" w:pos="-2094"/>
        </w:tabs>
        <w:suppressAutoHyphens/>
        <w:spacing w:before="113" w:after="0" w:line="100" w:lineRule="atLeast"/>
        <w:jc w:val="both"/>
        <w:rPr>
          <w:rFonts w:ascii="Arial" w:hAnsi="Arial" w:cs="Arial"/>
          <w:color w:val="833C0B"/>
          <w:sz w:val="2"/>
          <w:szCs w:val="24"/>
        </w:rPr>
      </w:pPr>
    </w:p>
    <w:p w:rsidR="0038769E" w:rsidRPr="003F2DEE" w:rsidRDefault="0038769E" w:rsidP="001311A6">
      <w:pPr>
        <w:widowControl w:val="0"/>
        <w:numPr>
          <w:ilvl w:val="0"/>
          <w:numId w:val="1"/>
        </w:numPr>
        <w:suppressAutoHyphens/>
        <w:spacing w:before="113" w:after="0" w:line="240" w:lineRule="auto"/>
        <w:jc w:val="both"/>
        <w:rPr>
          <w:rFonts w:ascii="Arial" w:hAnsi="Arial" w:cs="Arial"/>
          <w:color w:val="833C0B"/>
          <w:szCs w:val="24"/>
        </w:rPr>
      </w:pPr>
      <w:r w:rsidRPr="003F2DEE">
        <w:rPr>
          <w:rFonts w:ascii="Arial" w:hAnsi="Arial" w:cs="Arial"/>
          <w:b/>
          <w:color w:val="833C0B"/>
          <w:szCs w:val="24"/>
        </w:rPr>
        <w:t>Las agendas deben adecuarse a una asistencia de calidad</w:t>
      </w:r>
      <w:r w:rsidRPr="003F2DEE">
        <w:rPr>
          <w:rFonts w:ascii="Arial" w:hAnsi="Arial" w:cs="Arial"/>
          <w:color w:val="833C0B"/>
          <w:szCs w:val="24"/>
        </w:rPr>
        <w:t>, con un tiempo mínimo de 10 minutos por paciente, siempre teniendo en cuenta el contexto socio demográfico y eliminando toda actividad burocrática que no tenga justificación clínica, facilitando al máximo su realización.</w:t>
      </w:r>
    </w:p>
    <w:p w:rsidR="0038769E" w:rsidRPr="003F2DEE" w:rsidRDefault="0038769E" w:rsidP="00F9273C">
      <w:pPr>
        <w:numPr>
          <w:ilvl w:val="1"/>
          <w:numId w:val="1"/>
        </w:numPr>
        <w:tabs>
          <w:tab w:val="left" w:pos="-2094"/>
        </w:tabs>
        <w:suppressAutoHyphens/>
        <w:spacing w:before="60" w:after="0" w:line="100" w:lineRule="atLeast"/>
        <w:ind w:left="1040"/>
        <w:jc w:val="both"/>
        <w:rPr>
          <w:rFonts w:ascii="Arial" w:hAnsi="Arial" w:cs="Arial"/>
          <w:color w:val="833C0B"/>
          <w:szCs w:val="24"/>
        </w:rPr>
      </w:pPr>
      <w:r w:rsidRPr="003F2DEE">
        <w:rPr>
          <w:rFonts w:ascii="Arial" w:hAnsi="Arial" w:cs="Arial"/>
          <w:color w:val="833C0B"/>
          <w:szCs w:val="24"/>
        </w:rPr>
        <w:t>Diseño personalizado de la agenda en base a criterios de eficiencia y calidad asistencial</w:t>
      </w:r>
      <w:r w:rsidR="00813493" w:rsidRPr="003F2DEE">
        <w:rPr>
          <w:rFonts w:ascii="Arial" w:hAnsi="Arial" w:cs="Arial"/>
          <w:color w:val="833C0B"/>
          <w:szCs w:val="24"/>
        </w:rPr>
        <w:t>.</w:t>
      </w:r>
    </w:p>
    <w:p w:rsidR="0038769E" w:rsidRPr="003F2DEE" w:rsidRDefault="0038769E" w:rsidP="00F9273C">
      <w:pPr>
        <w:numPr>
          <w:ilvl w:val="1"/>
          <w:numId w:val="1"/>
        </w:numPr>
        <w:tabs>
          <w:tab w:val="left" w:pos="-2094"/>
        </w:tabs>
        <w:suppressAutoHyphens/>
        <w:spacing w:before="60" w:after="0" w:line="100" w:lineRule="atLeast"/>
        <w:ind w:left="1040"/>
        <w:rPr>
          <w:rFonts w:ascii="Arial" w:hAnsi="Arial" w:cs="Arial"/>
          <w:color w:val="833C0B"/>
          <w:szCs w:val="24"/>
        </w:rPr>
      </w:pPr>
      <w:r w:rsidRPr="003F2DEE">
        <w:rPr>
          <w:rFonts w:ascii="Arial" w:hAnsi="Arial" w:cs="Arial"/>
          <w:color w:val="833C0B"/>
          <w:szCs w:val="24"/>
        </w:rPr>
        <w:t>Estandarización de documentos asistenciales que facilite su cumplimentación a nivel de todo el Estado.</w:t>
      </w:r>
    </w:p>
    <w:p w:rsidR="00A974A4" w:rsidRPr="003F2DEE" w:rsidRDefault="00A974A4" w:rsidP="00C423E5">
      <w:pPr>
        <w:tabs>
          <w:tab w:val="left" w:pos="-2094"/>
        </w:tabs>
        <w:suppressAutoHyphens/>
        <w:spacing w:before="113" w:after="0" w:line="100" w:lineRule="atLeast"/>
        <w:ind w:left="907"/>
        <w:rPr>
          <w:rFonts w:ascii="Arial" w:hAnsi="Arial" w:cs="Arial"/>
          <w:color w:val="833C0B"/>
          <w:sz w:val="2"/>
          <w:szCs w:val="24"/>
        </w:rPr>
      </w:pPr>
    </w:p>
    <w:p w:rsidR="0038769E" w:rsidRPr="003F2DEE" w:rsidRDefault="0038769E" w:rsidP="001311A6">
      <w:pPr>
        <w:widowControl w:val="0"/>
        <w:numPr>
          <w:ilvl w:val="0"/>
          <w:numId w:val="1"/>
        </w:numPr>
        <w:suppressAutoHyphens/>
        <w:spacing w:before="113" w:after="0" w:line="240" w:lineRule="auto"/>
        <w:jc w:val="both"/>
        <w:rPr>
          <w:rFonts w:ascii="Arial" w:hAnsi="Arial" w:cs="Arial"/>
          <w:i/>
          <w:color w:val="833C0B"/>
          <w:szCs w:val="24"/>
        </w:rPr>
      </w:pPr>
      <w:r w:rsidRPr="003F2DEE">
        <w:rPr>
          <w:rFonts w:ascii="Arial" w:hAnsi="Arial" w:cs="Arial"/>
          <w:b/>
          <w:color w:val="833C0B"/>
          <w:szCs w:val="24"/>
        </w:rPr>
        <w:t>La gestión de la Incapacidad Temporal</w:t>
      </w:r>
      <w:r w:rsidRPr="003F2DEE">
        <w:rPr>
          <w:rFonts w:ascii="Arial" w:hAnsi="Arial" w:cs="Arial"/>
          <w:color w:val="833C0B"/>
          <w:szCs w:val="24"/>
        </w:rPr>
        <w:t xml:space="preserve"> debe tener un diseño basado en criterios clínicos, evitando la multiplicación de informes que requiere la nueva regulación, y haciéndola extensiva a todos los niveles asistenciales.</w:t>
      </w:r>
    </w:p>
    <w:p w:rsidR="00A974A4" w:rsidRPr="003F2DEE" w:rsidRDefault="00A974A4" w:rsidP="00A974A4">
      <w:pPr>
        <w:widowControl w:val="0"/>
        <w:suppressAutoHyphens/>
        <w:spacing w:before="113" w:after="0" w:line="240" w:lineRule="auto"/>
        <w:jc w:val="both"/>
        <w:rPr>
          <w:rFonts w:ascii="Arial" w:hAnsi="Arial" w:cs="Arial"/>
          <w:i/>
          <w:color w:val="833C0B"/>
          <w:sz w:val="8"/>
          <w:szCs w:val="24"/>
        </w:rPr>
      </w:pPr>
    </w:p>
    <w:p w:rsidR="0038769E" w:rsidRPr="003F2DEE" w:rsidRDefault="0038769E" w:rsidP="00A86813">
      <w:pPr>
        <w:widowControl w:val="0"/>
        <w:numPr>
          <w:ilvl w:val="0"/>
          <w:numId w:val="1"/>
        </w:numPr>
        <w:suppressAutoHyphens/>
        <w:spacing w:before="80" w:after="0" w:line="240" w:lineRule="auto"/>
        <w:jc w:val="both"/>
        <w:rPr>
          <w:rFonts w:ascii="Arial" w:hAnsi="Arial" w:cs="Arial"/>
          <w:color w:val="833C0B"/>
          <w:szCs w:val="24"/>
        </w:rPr>
      </w:pPr>
      <w:r w:rsidRPr="003F2DEE">
        <w:rPr>
          <w:rFonts w:ascii="Arial" w:hAnsi="Arial" w:cs="Arial"/>
          <w:b/>
          <w:color w:val="833C0B"/>
          <w:szCs w:val="24"/>
        </w:rPr>
        <w:t>La receta electrónica debe extenderse a todos los niveles asistenciales y a todo el Sistema Nacional de Salud</w:t>
      </w:r>
      <w:r w:rsidRPr="003F2DEE">
        <w:rPr>
          <w:rFonts w:ascii="Arial" w:hAnsi="Arial" w:cs="Arial"/>
          <w:color w:val="833C0B"/>
          <w:szCs w:val="24"/>
        </w:rPr>
        <w:t>, en un formato ágil y que garantice la interoperabilidad, así como el acceso al historial médico integrado a nivel nacional.</w:t>
      </w:r>
    </w:p>
    <w:p w:rsidR="0038769E" w:rsidRPr="003F2DEE" w:rsidRDefault="0038769E" w:rsidP="00A86813">
      <w:pPr>
        <w:numPr>
          <w:ilvl w:val="0"/>
          <w:numId w:val="3"/>
        </w:numPr>
        <w:tabs>
          <w:tab w:val="left" w:pos="-2094"/>
        </w:tabs>
        <w:suppressAutoHyphens/>
        <w:spacing w:before="80" w:after="0" w:line="100" w:lineRule="atLeast"/>
        <w:ind w:left="1040"/>
        <w:rPr>
          <w:color w:val="833C0B"/>
          <w:szCs w:val="24"/>
        </w:rPr>
      </w:pPr>
      <w:r w:rsidRPr="003F2DEE">
        <w:rPr>
          <w:rFonts w:ascii="Arial" w:hAnsi="Arial" w:cs="Arial"/>
          <w:color w:val="833C0B"/>
          <w:szCs w:val="24"/>
        </w:rPr>
        <w:t>100% de implantación de la receta electrónica con total interoperabilidad en un plazo máximo de 4 años</w:t>
      </w:r>
      <w:r w:rsidR="00813493" w:rsidRPr="003F2DEE">
        <w:rPr>
          <w:rFonts w:ascii="Arial" w:hAnsi="Arial" w:cs="Arial"/>
          <w:color w:val="833C0B"/>
          <w:szCs w:val="24"/>
        </w:rPr>
        <w:t>.</w:t>
      </w:r>
    </w:p>
    <w:p w:rsidR="00A974A4" w:rsidRPr="003F2DEE" w:rsidRDefault="00A974A4" w:rsidP="00A86813">
      <w:pPr>
        <w:tabs>
          <w:tab w:val="left" w:pos="-2094"/>
        </w:tabs>
        <w:suppressAutoHyphens/>
        <w:spacing w:before="80" w:after="0" w:line="100" w:lineRule="atLeast"/>
        <w:rPr>
          <w:color w:val="833C0B"/>
          <w:sz w:val="2"/>
          <w:szCs w:val="24"/>
        </w:rPr>
      </w:pPr>
    </w:p>
    <w:p w:rsidR="0038769E" w:rsidRPr="003F2DEE" w:rsidRDefault="0038769E" w:rsidP="00A86813">
      <w:pPr>
        <w:widowControl w:val="0"/>
        <w:numPr>
          <w:ilvl w:val="0"/>
          <w:numId w:val="1"/>
        </w:numPr>
        <w:suppressAutoHyphens/>
        <w:spacing w:before="80" w:after="0" w:line="240" w:lineRule="auto"/>
        <w:jc w:val="both"/>
        <w:rPr>
          <w:rFonts w:ascii="Arial" w:hAnsi="Arial" w:cs="Arial"/>
          <w:color w:val="833C0B"/>
          <w:szCs w:val="24"/>
        </w:rPr>
      </w:pPr>
      <w:r w:rsidRPr="003F2DEE">
        <w:rPr>
          <w:rFonts w:ascii="Arial" w:hAnsi="Arial" w:cs="Arial"/>
          <w:b/>
          <w:color w:val="833C0B"/>
          <w:szCs w:val="24"/>
        </w:rPr>
        <w:t>La formación en Atención Primaria debe empezar en la universidad</w:t>
      </w:r>
      <w:r w:rsidRPr="003F2DEE">
        <w:rPr>
          <w:rFonts w:ascii="Arial" w:hAnsi="Arial" w:cs="Arial"/>
          <w:color w:val="833C0B"/>
          <w:szCs w:val="24"/>
        </w:rPr>
        <w:t>, con la creación de un área de competencias en Medicina de Familia y la definición de competencias específicas de Pediatría de AP en la formación de pregrado, adecuando los criterios de acceso a la docencia universitaria a la realidad de la Atención Primaria.</w:t>
      </w:r>
    </w:p>
    <w:p w:rsidR="0038769E" w:rsidRPr="003F2DEE" w:rsidRDefault="0038769E" w:rsidP="00F9273C">
      <w:pPr>
        <w:numPr>
          <w:ilvl w:val="1"/>
          <w:numId w:val="1"/>
        </w:numPr>
        <w:tabs>
          <w:tab w:val="left" w:pos="-2094"/>
        </w:tabs>
        <w:suppressAutoHyphens/>
        <w:spacing w:before="60" w:after="0" w:line="100" w:lineRule="atLeast"/>
        <w:ind w:left="1040"/>
        <w:jc w:val="both"/>
        <w:rPr>
          <w:rFonts w:ascii="Arial" w:hAnsi="Arial" w:cs="Arial"/>
          <w:color w:val="833C0B"/>
          <w:szCs w:val="24"/>
        </w:rPr>
      </w:pPr>
      <w:r w:rsidRPr="003F2DEE">
        <w:rPr>
          <w:rFonts w:ascii="Arial" w:hAnsi="Arial" w:cs="Arial"/>
          <w:color w:val="833C0B"/>
          <w:szCs w:val="24"/>
        </w:rPr>
        <w:t>Creación del área de conocimiento de Medicina de Familia y definición de competencias específicas de Pediatría en AP en todos los programas de pregrado de Medicina del Estado en un plazo máximo de cuatro años</w:t>
      </w:r>
      <w:r w:rsidR="00813493" w:rsidRPr="003F2DEE">
        <w:rPr>
          <w:rFonts w:ascii="Arial" w:hAnsi="Arial" w:cs="Arial"/>
          <w:color w:val="833C0B"/>
          <w:szCs w:val="24"/>
        </w:rPr>
        <w:t>.</w:t>
      </w:r>
    </w:p>
    <w:p w:rsidR="0038769E" w:rsidRPr="003F2DEE" w:rsidRDefault="0038769E" w:rsidP="00F9273C">
      <w:pPr>
        <w:numPr>
          <w:ilvl w:val="1"/>
          <w:numId w:val="1"/>
        </w:numPr>
        <w:tabs>
          <w:tab w:val="left" w:pos="-2094"/>
        </w:tabs>
        <w:suppressAutoHyphens/>
        <w:spacing w:before="60" w:after="0" w:line="100" w:lineRule="atLeast"/>
        <w:ind w:left="1040"/>
        <w:jc w:val="both"/>
        <w:rPr>
          <w:rFonts w:ascii="Arial" w:hAnsi="Arial" w:cs="Arial"/>
          <w:color w:val="833C0B"/>
          <w:szCs w:val="24"/>
        </w:rPr>
      </w:pPr>
      <w:bookmarkStart w:id="1" w:name="h.gjdgxs"/>
      <w:bookmarkEnd w:id="1"/>
      <w:r w:rsidRPr="003F2DEE">
        <w:rPr>
          <w:rFonts w:ascii="Arial" w:hAnsi="Arial" w:cs="Arial"/>
          <w:color w:val="833C0B"/>
          <w:szCs w:val="24"/>
        </w:rPr>
        <w:t>Conversión de dicho criterio en requisito para la acreditación de facultades de Medicina</w:t>
      </w:r>
      <w:r w:rsidR="00813493" w:rsidRPr="003F2DEE">
        <w:rPr>
          <w:rFonts w:ascii="Arial" w:hAnsi="Arial" w:cs="Arial"/>
          <w:color w:val="833C0B"/>
          <w:szCs w:val="24"/>
        </w:rPr>
        <w:t>.</w:t>
      </w:r>
    </w:p>
    <w:p w:rsidR="0038769E" w:rsidRPr="003F2DEE" w:rsidRDefault="0038769E" w:rsidP="00F9273C">
      <w:pPr>
        <w:numPr>
          <w:ilvl w:val="1"/>
          <w:numId w:val="1"/>
        </w:numPr>
        <w:tabs>
          <w:tab w:val="left" w:pos="-2094"/>
        </w:tabs>
        <w:suppressAutoHyphens/>
        <w:spacing w:before="60" w:after="0" w:line="100" w:lineRule="atLeast"/>
        <w:ind w:left="1040"/>
        <w:jc w:val="both"/>
        <w:rPr>
          <w:rFonts w:ascii="Arial" w:hAnsi="Arial" w:cs="Arial"/>
          <w:color w:val="833C0B"/>
          <w:szCs w:val="24"/>
        </w:rPr>
      </w:pPr>
      <w:r w:rsidRPr="003F2DEE">
        <w:rPr>
          <w:rFonts w:ascii="Arial" w:hAnsi="Arial" w:cs="Arial"/>
          <w:color w:val="833C0B"/>
          <w:szCs w:val="24"/>
        </w:rPr>
        <w:t>Redefinición de los criterios de acceso a la docencia universitaria para los profesionales de Atención Primaria</w:t>
      </w:r>
      <w:r w:rsidR="00813493" w:rsidRPr="003F2DEE">
        <w:rPr>
          <w:rFonts w:ascii="Arial" w:hAnsi="Arial" w:cs="Arial"/>
          <w:color w:val="833C0B"/>
          <w:szCs w:val="24"/>
        </w:rPr>
        <w:t>.</w:t>
      </w:r>
    </w:p>
    <w:p w:rsidR="00A974A4" w:rsidRPr="003F2DEE" w:rsidRDefault="00A974A4" w:rsidP="00A974A4">
      <w:pPr>
        <w:tabs>
          <w:tab w:val="left" w:pos="-2094"/>
        </w:tabs>
        <w:suppressAutoHyphens/>
        <w:spacing w:before="113" w:after="0" w:line="100" w:lineRule="atLeast"/>
        <w:jc w:val="both"/>
        <w:rPr>
          <w:rFonts w:ascii="Arial" w:hAnsi="Arial" w:cs="Arial"/>
          <w:color w:val="833C0B"/>
          <w:sz w:val="2"/>
          <w:szCs w:val="24"/>
        </w:rPr>
      </w:pPr>
    </w:p>
    <w:p w:rsidR="0038769E" w:rsidRPr="003F2DEE" w:rsidRDefault="0038769E" w:rsidP="00F9273C">
      <w:pPr>
        <w:widowControl w:val="0"/>
        <w:numPr>
          <w:ilvl w:val="0"/>
          <w:numId w:val="1"/>
        </w:numPr>
        <w:suppressAutoHyphens/>
        <w:spacing w:before="60" w:after="0" w:line="240" w:lineRule="auto"/>
        <w:jc w:val="both"/>
        <w:rPr>
          <w:rFonts w:ascii="Arial" w:hAnsi="Arial" w:cs="Arial"/>
          <w:color w:val="833C0B"/>
          <w:szCs w:val="24"/>
        </w:rPr>
      </w:pPr>
      <w:r w:rsidRPr="003F2DEE">
        <w:rPr>
          <w:rFonts w:ascii="Arial" w:hAnsi="Arial" w:cs="Arial"/>
          <w:color w:val="833C0B"/>
          <w:szCs w:val="24"/>
        </w:rPr>
        <w:t xml:space="preserve"> Se debe facilitar el acceso de los profesionales de AP a las </w:t>
      </w:r>
      <w:r w:rsidRPr="003F2DEE">
        <w:rPr>
          <w:rFonts w:ascii="Arial" w:hAnsi="Arial" w:cs="Arial"/>
          <w:b/>
          <w:color w:val="833C0B"/>
          <w:szCs w:val="24"/>
        </w:rPr>
        <w:t>actividades formativas</w:t>
      </w:r>
      <w:r w:rsidRPr="003F2DEE">
        <w:rPr>
          <w:rFonts w:ascii="Arial" w:hAnsi="Arial" w:cs="Arial"/>
          <w:color w:val="833C0B"/>
          <w:szCs w:val="24"/>
        </w:rPr>
        <w:t xml:space="preserve"> y promover </w:t>
      </w:r>
      <w:r w:rsidRPr="003F2DEE">
        <w:rPr>
          <w:rFonts w:ascii="Arial" w:hAnsi="Arial" w:cs="Arial"/>
          <w:b/>
          <w:color w:val="833C0B"/>
          <w:szCs w:val="24"/>
        </w:rPr>
        <w:t>la investigación</w:t>
      </w:r>
      <w:r w:rsidRPr="003F2DEE">
        <w:rPr>
          <w:rFonts w:ascii="Arial" w:hAnsi="Arial" w:cs="Arial"/>
          <w:color w:val="833C0B"/>
          <w:szCs w:val="24"/>
        </w:rPr>
        <w:t xml:space="preserve"> teniendo en cuenta las características propias de dicho nivel asistencial</w:t>
      </w:r>
      <w:r w:rsidR="00F9273C" w:rsidRPr="003F2DEE">
        <w:rPr>
          <w:rFonts w:ascii="Arial" w:hAnsi="Arial" w:cs="Arial"/>
          <w:color w:val="833C0B"/>
          <w:szCs w:val="24"/>
        </w:rPr>
        <w:t>.</w:t>
      </w:r>
    </w:p>
    <w:p w:rsidR="0038769E" w:rsidRPr="003F2DEE" w:rsidRDefault="0038769E" w:rsidP="00F9273C">
      <w:pPr>
        <w:numPr>
          <w:ilvl w:val="1"/>
          <w:numId w:val="1"/>
        </w:numPr>
        <w:tabs>
          <w:tab w:val="left" w:pos="-2094"/>
        </w:tabs>
        <w:suppressAutoHyphens/>
        <w:spacing w:before="60" w:after="0" w:line="100" w:lineRule="atLeast"/>
        <w:ind w:left="1040"/>
        <w:jc w:val="both"/>
        <w:rPr>
          <w:rFonts w:ascii="Arial" w:hAnsi="Arial" w:cs="Arial"/>
          <w:color w:val="833C0B"/>
          <w:szCs w:val="24"/>
        </w:rPr>
      </w:pPr>
      <w:r w:rsidRPr="003F2DEE">
        <w:rPr>
          <w:rFonts w:ascii="Arial" w:hAnsi="Arial" w:cs="Arial"/>
          <w:color w:val="833C0B"/>
          <w:szCs w:val="24"/>
        </w:rPr>
        <w:t>Garantizar el acceso a la formación continuada desde los equipos asistenciales.</w:t>
      </w:r>
    </w:p>
    <w:p w:rsidR="0038769E" w:rsidRPr="003F2DEE" w:rsidRDefault="0038769E" w:rsidP="00F9273C">
      <w:pPr>
        <w:numPr>
          <w:ilvl w:val="1"/>
          <w:numId w:val="1"/>
        </w:numPr>
        <w:tabs>
          <w:tab w:val="left" w:pos="-2094"/>
        </w:tabs>
        <w:suppressAutoHyphens/>
        <w:spacing w:before="60" w:after="0" w:line="100" w:lineRule="atLeast"/>
        <w:ind w:left="1040"/>
        <w:jc w:val="both"/>
        <w:rPr>
          <w:rFonts w:ascii="Arial" w:hAnsi="Arial" w:cs="Arial"/>
          <w:color w:val="833C0B"/>
          <w:szCs w:val="24"/>
        </w:rPr>
      </w:pPr>
      <w:r w:rsidRPr="003F2DEE">
        <w:rPr>
          <w:rFonts w:ascii="Arial" w:hAnsi="Arial" w:cs="Arial"/>
          <w:color w:val="833C0B"/>
          <w:szCs w:val="24"/>
        </w:rPr>
        <w:t>Adaptar las bases para la convocatoria pública de ayudas para la investigación a las características de AP / Creación de partidas específicas de ayudas a la investigación en AP, mediante la constitución de los instrumentos necesarios para ello (fundaciones de investigación…)</w:t>
      </w:r>
    </w:p>
    <w:p w:rsidR="00F9273C" w:rsidRPr="003F2DEE" w:rsidRDefault="0038769E" w:rsidP="00F9273C">
      <w:pPr>
        <w:numPr>
          <w:ilvl w:val="1"/>
          <w:numId w:val="1"/>
        </w:numPr>
        <w:tabs>
          <w:tab w:val="left" w:pos="-2094"/>
        </w:tabs>
        <w:suppressAutoHyphens/>
        <w:spacing w:before="60" w:after="0" w:line="100" w:lineRule="atLeast"/>
        <w:ind w:left="1040"/>
        <w:jc w:val="both"/>
        <w:rPr>
          <w:rFonts w:ascii="Arial" w:hAnsi="Arial" w:cs="Arial"/>
          <w:color w:val="833C0B"/>
          <w:szCs w:val="24"/>
        </w:rPr>
      </w:pPr>
      <w:r w:rsidRPr="003F2DEE">
        <w:rPr>
          <w:rFonts w:ascii="Arial" w:hAnsi="Arial" w:cs="Arial"/>
          <w:color w:val="833C0B"/>
          <w:szCs w:val="24"/>
        </w:rPr>
        <w:t>Facilitar el desarrollo de proyectos de investigación colaborativos mediante la validación universal automática de su aprobación por parte de un CEIC acreditado.</w:t>
      </w:r>
    </w:p>
    <w:sectPr w:rsidR="00F9273C" w:rsidRPr="003F2DEE" w:rsidSect="00C423E5">
      <w:footerReference w:type="default" r:id="rId10"/>
      <w:pgSz w:w="11906" w:h="16838"/>
      <w:pgMar w:top="992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DCB" w:rsidRDefault="00E77DCB" w:rsidP="00D101ED">
      <w:pPr>
        <w:spacing w:after="0" w:line="240" w:lineRule="auto"/>
      </w:pPr>
      <w:r>
        <w:separator/>
      </w:r>
    </w:p>
  </w:endnote>
  <w:endnote w:type="continuationSeparator" w:id="0">
    <w:p w:rsidR="00E77DCB" w:rsidRDefault="00E77DCB" w:rsidP="00D1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um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4A4" w:rsidRPr="00C423E5" w:rsidRDefault="008853CA" w:rsidP="00C423E5">
    <w:pPr>
      <w:pStyle w:val="Piedepgina"/>
      <w:rPr>
        <w:sz w:val="14"/>
      </w:rPr>
    </w:pPr>
    <w:r>
      <w:rPr>
        <w:noProof/>
      </w:rPr>
      <w:drawing>
        <wp:inline distT="0" distB="0" distL="0" distR="0">
          <wp:extent cx="6048375" cy="552450"/>
          <wp:effectExtent l="0" t="0" r="0" b="0"/>
          <wp:docPr id="2" name="Imagen 2" descr="Logo-largo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largo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DCB" w:rsidRDefault="00E77DCB" w:rsidP="00D101ED">
      <w:pPr>
        <w:spacing w:after="0" w:line="240" w:lineRule="auto"/>
      </w:pPr>
      <w:r>
        <w:separator/>
      </w:r>
    </w:p>
  </w:footnote>
  <w:footnote w:type="continuationSeparator" w:id="0">
    <w:p w:rsidR="00E77DCB" w:rsidRDefault="00E77DCB" w:rsidP="00D10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638AD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color w:val="833C0B"/>
      </w:rPr>
    </w:lvl>
    <w:lvl w:ilvl="1">
      <w:start w:val="1"/>
      <w:numFmt w:val="lowerLetter"/>
      <w:lvlText w:val="%2.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011E073C"/>
    <w:multiLevelType w:val="hybridMultilevel"/>
    <w:tmpl w:val="63F075F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6A87DC6"/>
    <w:multiLevelType w:val="hybridMultilevel"/>
    <w:tmpl w:val="E7C2ADE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ED"/>
    <w:rsid w:val="000C417E"/>
    <w:rsid w:val="001311A6"/>
    <w:rsid w:val="001A6F00"/>
    <w:rsid w:val="00204CD3"/>
    <w:rsid w:val="002A22BB"/>
    <w:rsid w:val="002D1947"/>
    <w:rsid w:val="00370C28"/>
    <w:rsid w:val="0038769E"/>
    <w:rsid w:val="003A09E5"/>
    <w:rsid w:val="003C7EE0"/>
    <w:rsid w:val="003D5A61"/>
    <w:rsid w:val="003F2DEE"/>
    <w:rsid w:val="0057343E"/>
    <w:rsid w:val="005A78B4"/>
    <w:rsid w:val="005C2962"/>
    <w:rsid w:val="0060531B"/>
    <w:rsid w:val="00636FC4"/>
    <w:rsid w:val="00667510"/>
    <w:rsid w:val="00813493"/>
    <w:rsid w:val="0085569E"/>
    <w:rsid w:val="00872679"/>
    <w:rsid w:val="008853CA"/>
    <w:rsid w:val="009144B0"/>
    <w:rsid w:val="00925D4B"/>
    <w:rsid w:val="009B3BD1"/>
    <w:rsid w:val="009E6722"/>
    <w:rsid w:val="009F7FB9"/>
    <w:rsid w:val="00A160AB"/>
    <w:rsid w:val="00A46620"/>
    <w:rsid w:val="00A86813"/>
    <w:rsid w:val="00A974A4"/>
    <w:rsid w:val="00B04E1F"/>
    <w:rsid w:val="00BD4157"/>
    <w:rsid w:val="00C423E5"/>
    <w:rsid w:val="00CD49FD"/>
    <w:rsid w:val="00CE58F6"/>
    <w:rsid w:val="00CF3677"/>
    <w:rsid w:val="00D101ED"/>
    <w:rsid w:val="00D42DD9"/>
    <w:rsid w:val="00D7675A"/>
    <w:rsid w:val="00DA78F6"/>
    <w:rsid w:val="00DB4227"/>
    <w:rsid w:val="00DB5D78"/>
    <w:rsid w:val="00DE22C9"/>
    <w:rsid w:val="00E77DCB"/>
    <w:rsid w:val="00E855E4"/>
    <w:rsid w:val="00E91DA0"/>
    <w:rsid w:val="00F9273C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012D71-3560-40BA-96B6-3C854616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96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1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101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D10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D101E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10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D101ED"/>
    <w:rPr>
      <w:rFonts w:cs="Times New Roman"/>
    </w:rPr>
  </w:style>
  <w:style w:type="character" w:styleId="Hipervnculo">
    <w:name w:val="Hyperlink"/>
    <w:uiPriority w:val="99"/>
    <w:semiHidden/>
    <w:unhideWhenUsed/>
    <w:rsid w:val="001A6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witter.com/search?q=%23Pasi%C3%B3nPorLaPrimaria&amp;src=hashtag_clic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CBC5F-C439-4DF3-B273-FB2C5AF7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Matas</dc:creator>
  <cp:keywords/>
  <cp:lastModifiedBy>Florencio</cp:lastModifiedBy>
  <cp:revision>2</cp:revision>
  <cp:lastPrinted>2018-11-01T11:01:00Z</cp:lastPrinted>
  <dcterms:created xsi:type="dcterms:W3CDTF">2019-04-09T17:42:00Z</dcterms:created>
  <dcterms:modified xsi:type="dcterms:W3CDTF">2019-04-09T17:42:00Z</dcterms:modified>
</cp:coreProperties>
</file>